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hAnsiTheme="minorHAnsi"/>
        </w:rPr>
        <w:id w:val="1295796507"/>
        <w:docPartObj>
          <w:docPartGallery w:val="Cover Pages"/>
          <w:docPartUnique/>
        </w:docPartObj>
      </w:sdtPr>
      <w:sdtEndPr>
        <w:rPr>
          <w:rFonts w:eastAsiaTheme="minorHAnsi" w:cstheme="minorBidi"/>
          <w:b w:val="0"/>
          <w:bCs w:val="0"/>
          <w:kern w:val="0"/>
          <w:sz w:val="22"/>
          <w:szCs w:val="22"/>
        </w:rPr>
      </w:sdtEndPr>
      <w:sdtContent>
        <w:p w:rsidR="006A1653" w:rsidRDefault="006A1653" w:rsidP="006A1653">
          <w:pPr>
            <w:pStyle w:val="Heading1"/>
            <w:spacing w:before="0" w:beforeAutospacing="0" w:after="0" w:afterAutospacing="0" w:line="288" w:lineRule="atLeast"/>
            <w:jc w:val="center"/>
            <w:rPr>
              <w:rFonts w:asciiTheme="minorHAnsi" w:hAnsiTheme="minorHAnsi"/>
              <w:b w:val="0"/>
              <w:bCs w:val="0"/>
              <w:caps/>
              <w:color w:val="263333"/>
              <w:sz w:val="44"/>
              <w:szCs w:val="44"/>
            </w:rPr>
          </w:pPr>
          <w:r w:rsidRPr="006A1653">
            <w:rPr>
              <w:rFonts w:asciiTheme="minorHAnsi" w:hAnsiTheme="minorHAnsi"/>
              <w:b w:val="0"/>
              <w:bCs w:val="0"/>
              <w:caps/>
              <w:color w:val="263333"/>
              <w:sz w:val="44"/>
              <w:szCs w:val="44"/>
            </w:rPr>
            <w:t xml:space="preserve">TECHNOLOGY-ENABLED COERCIVE CONTROL </w:t>
          </w:r>
        </w:p>
        <w:p w:rsidR="006A1653" w:rsidRPr="006A1653" w:rsidRDefault="006A1653" w:rsidP="006A1653">
          <w:pPr>
            <w:pStyle w:val="Heading1"/>
            <w:spacing w:before="0" w:beforeAutospacing="0" w:after="0" w:afterAutospacing="0" w:line="288" w:lineRule="atLeast"/>
            <w:jc w:val="center"/>
            <w:rPr>
              <w:rFonts w:asciiTheme="minorHAnsi" w:hAnsiTheme="minorHAnsi"/>
              <w:b w:val="0"/>
              <w:bCs w:val="0"/>
              <w:caps/>
              <w:color w:val="03C9C9"/>
              <w:sz w:val="44"/>
              <w:szCs w:val="44"/>
            </w:rPr>
          </w:pPr>
          <w:r w:rsidRPr="006A1653">
            <w:rPr>
              <w:rFonts w:asciiTheme="minorHAnsi" w:hAnsiTheme="minorHAnsi"/>
              <w:b w:val="0"/>
              <w:bCs w:val="0"/>
              <w:caps/>
              <w:color w:val="263333"/>
              <w:sz w:val="44"/>
              <w:szCs w:val="44"/>
            </w:rPr>
            <w:t>WORKING GROUP</w:t>
          </w:r>
        </w:p>
        <w:p w:rsidR="006A1653" w:rsidRPr="006A1653" w:rsidRDefault="006A1653" w:rsidP="006A1653">
          <w:pPr>
            <w:spacing w:after="72" w:line="240" w:lineRule="atLeast"/>
            <w:outlineLvl w:val="1"/>
            <w:rPr>
              <w:rFonts w:eastAsia="Times New Roman" w:cs="Times New Roman"/>
              <w:spacing w:val="15"/>
              <w:sz w:val="28"/>
              <w:szCs w:val="28"/>
            </w:rPr>
          </w:pPr>
          <w:r w:rsidRPr="006A1653">
            <w:rPr>
              <w:rFonts w:eastAsia="Times New Roman" w:cs="Times New Roman"/>
              <w:spacing w:val="15"/>
              <w:sz w:val="28"/>
              <w:szCs w:val="28"/>
            </w:rPr>
            <w:t>Mission</w:t>
          </w:r>
        </w:p>
        <w:p w:rsidR="006A1653" w:rsidRPr="006A1653" w:rsidRDefault="006A1653" w:rsidP="006A1653">
          <w:pPr>
            <w:spacing w:after="384" w:line="384" w:lineRule="atLeast"/>
            <w:rPr>
              <w:rFonts w:eastAsia="Times New Roman" w:cs="Times New Roman"/>
              <w:sz w:val="24"/>
              <w:szCs w:val="24"/>
            </w:rPr>
          </w:pPr>
          <w:r w:rsidRPr="006A1653">
            <w:rPr>
              <w:rFonts w:eastAsia="Times New Roman" w:cs="Times New Roman"/>
              <w:sz w:val="24"/>
              <w:szCs w:val="24"/>
            </w:rPr>
            <w:t>The Technology Enabled Coercive Control Working Group is a cross-sector effort between the City of Seattle, University of Washington, and Seattle-area organizations that work on gender-based violence issues. Our mission is to disrupt the ways that technology enables and perpetuates coercive control in interpersonal relationships.</w:t>
          </w:r>
        </w:p>
        <w:p w:rsidR="006A1653" w:rsidRPr="006A1653" w:rsidRDefault="006A1653" w:rsidP="006A1653">
          <w:pPr>
            <w:spacing w:after="384" w:line="384" w:lineRule="atLeast"/>
            <w:rPr>
              <w:rFonts w:eastAsia="Times New Roman" w:cs="Times New Roman"/>
              <w:sz w:val="24"/>
              <w:szCs w:val="24"/>
            </w:rPr>
          </w:pPr>
          <w:r w:rsidRPr="006A1653">
            <w:rPr>
              <w:rFonts w:eastAsia="Times New Roman" w:cs="Times New Roman"/>
              <w:sz w:val="24"/>
              <w:szCs w:val="24"/>
            </w:rPr>
            <w:t> We invite participation from public agencies, advocates, service providers, and those involved in the criminal justice system, as well as technology companies and workers – anyone who is interested in helping us combat the abuse of technology in interpersonal relationships.</w:t>
          </w:r>
        </w:p>
        <w:p w:rsidR="006A1653" w:rsidRPr="006A1653" w:rsidRDefault="006A1653" w:rsidP="006A1653">
          <w:pPr>
            <w:spacing w:before="240" w:after="72" w:line="240" w:lineRule="atLeast"/>
            <w:outlineLvl w:val="1"/>
            <w:rPr>
              <w:rFonts w:eastAsia="Times New Roman" w:cs="Times New Roman"/>
              <w:spacing w:val="15"/>
              <w:sz w:val="28"/>
              <w:szCs w:val="28"/>
            </w:rPr>
          </w:pPr>
          <w:r w:rsidRPr="006A1653">
            <w:rPr>
              <w:rFonts w:eastAsia="Times New Roman" w:cs="Times New Roman"/>
              <w:spacing w:val="15"/>
              <w:sz w:val="28"/>
              <w:szCs w:val="28"/>
            </w:rPr>
            <w:t>Goals</w:t>
          </w:r>
        </w:p>
        <w:p w:rsidR="006A1653" w:rsidRPr="006A1653" w:rsidRDefault="006A1653" w:rsidP="006A1653">
          <w:pPr>
            <w:numPr>
              <w:ilvl w:val="0"/>
              <w:numId w:val="6"/>
            </w:numPr>
            <w:spacing w:before="100" w:beforeAutospacing="1" w:after="100" w:afterAutospacing="1" w:line="384" w:lineRule="atLeast"/>
            <w:ind w:left="360"/>
            <w:rPr>
              <w:rFonts w:eastAsia="Times New Roman" w:cs="Times New Roman"/>
              <w:sz w:val="24"/>
              <w:szCs w:val="24"/>
            </w:rPr>
          </w:pPr>
          <w:r w:rsidRPr="006A1653">
            <w:rPr>
              <w:rFonts w:eastAsia="Times New Roman" w:cs="Times New Roman"/>
              <w:sz w:val="24"/>
              <w:szCs w:val="24"/>
            </w:rPr>
            <w:t>Increase understanding of technology-enabled coercive control across sectors, including in law enforcement and the technology industry.</w:t>
          </w:r>
        </w:p>
        <w:p w:rsidR="006A1653" w:rsidRPr="006A1653" w:rsidRDefault="006A1653" w:rsidP="006A1653">
          <w:pPr>
            <w:numPr>
              <w:ilvl w:val="0"/>
              <w:numId w:val="6"/>
            </w:numPr>
            <w:spacing w:before="100" w:beforeAutospacing="1" w:after="100" w:afterAutospacing="1" w:line="384" w:lineRule="atLeast"/>
            <w:ind w:left="360"/>
            <w:rPr>
              <w:rFonts w:eastAsia="Times New Roman" w:cs="Times New Roman"/>
              <w:sz w:val="24"/>
              <w:szCs w:val="24"/>
            </w:rPr>
          </w:pPr>
          <w:r w:rsidRPr="006A1653">
            <w:rPr>
              <w:rFonts w:eastAsia="Times New Roman" w:cs="Times New Roman"/>
              <w:sz w:val="24"/>
              <w:szCs w:val="24"/>
            </w:rPr>
            <w:t>Stimulate the creation and/or adoption of technology tools that help people safely exit abusive situations.</w:t>
          </w:r>
        </w:p>
        <w:p w:rsidR="006A1653" w:rsidRPr="006A1653" w:rsidRDefault="006A1653" w:rsidP="006A1653">
          <w:pPr>
            <w:numPr>
              <w:ilvl w:val="0"/>
              <w:numId w:val="6"/>
            </w:numPr>
            <w:spacing w:before="100" w:beforeAutospacing="1" w:after="100" w:afterAutospacing="1" w:line="384" w:lineRule="atLeast"/>
            <w:ind w:left="360"/>
            <w:rPr>
              <w:rFonts w:eastAsia="Times New Roman" w:cs="Times New Roman"/>
              <w:sz w:val="24"/>
              <w:szCs w:val="24"/>
            </w:rPr>
          </w:pPr>
          <w:r w:rsidRPr="006A1653">
            <w:rPr>
              <w:rFonts w:eastAsia="Times New Roman" w:cs="Times New Roman"/>
              <w:sz w:val="24"/>
              <w:szCs w:val="24"/>
            </w:rPr>
            <w:t>Advance research that sheds light on survivor experiences and potential avenues of support.</w:t>
          </w:r>
        </w:p>
        <w:p w:rsidR="006A1653" w:rsidRPr="006A1653" w:rsidRDefault="006A1653" w:rsidP="006A1653">
          <w:pPr>
            <w:numPr>
              <w:ilvl w:val="0"/>
              <w:numId w:val="6"/>
            </w:numPr>
            <w:spacing w:before="100" w:beforeAutospacing="1" w:after="100" w:afterAutospacing="1" w:line="384" w:lineRule="atLeast"/>
            <w:ind w:left="360"/>
            <w:rPr>
              <w:rFonts w:eastAsia="Times New Roman" w:cs="Times New Roman"/>
              <w:sz w:val="24"/>
              <w:szCs w:val="24"/>
            </w:rPr>
          </w:pPr>
          <w:r w:rsidRPr="006A1653">
            <w:rPr>
              <w:rFonts w:eastAsia="Times New Roman" w:cs="Times New Roman"/>
              <w:sz w:val="24"/>
              <w:szCs w:val="24"/>
            </w:rPr>
            <w:t>Develop recommendations for companies, law enforcement, and the criminal justice system to adapt to this rapidly changing threat.</w:t>
          </w:r>
        </w:p>
        <w:p w:rsidR="006A1653" w:rsidRPr="006A1653" w:rsidRDefault="006A1653" w:rsidP="006A1653">
          <w:pPr>
            <w:numPr>
              <w:ilvl w:val="0"/>
              <w:numId w:val="6"/>
            </w:numPr>
            <w:spacing w:before="100" w:beforeAutospacing="1" w:after="100" w:afterAutospacing="1" w:line="384" w:lineRule="atLeast"/>
            <w:ind w:left="360"/>
            <w:rPr>
              <w:rFonts w:eastAsia="Times New Roman" w:cs="Times New Roman"/>
              <w:sz w:val="24"/>
              <w:szCs w:val="24"/>
            </w:rPr>
          </w:pPr>
          <w:r w:rsidRPr="006A1653">
            <w:rPr>
              <w:rFonts w:eastAsia="Times New Roman" w:cs="Times New Roman"/>
              <w:sz w:val="24"/>
              <w:szCs w:val="24"/>
            </w:rPr>
            <w:t>Encourage the development of support systems for victims of technology-enabled coercive control and the institutions that support them.</w:t>
          </w:r>
        </w:p>
        <w:p w:rsidR="006A1653" w:rsidRPr="006A1653" w:rsidRDefault="006A1653" w:rsidP="006A1653">
          <w:pPr>
            <w:spacing w:before="240" w:after="72" w:line="240" w:lineRule="atLeast"/>
            <w:outlineLvl w:val="1"/>
            <w:rPr>
              <w:rFonts w:eastAsia="Times New Roman" w:cs="Times New Roman"/>
              <w:spacing w:val="15"/>
              <w:sz w:val="28"/>
              <w:szCs w:val="28"/>
            </w:rPr>
          </w:pPr>
          <w:r w:rsidRPr="006A1653">
            <w:rPr>
              <w:rFonts w:eastAsia="Times New Roman" w:cs="Times New Roman"/>
              <w:spacing w:val="15"/>
              <w:sz w:val="28"/>
              <w:szCs w:val="28"/>
            </w:rPr>
            <w:t>Members</w:t>
          </w:r>
        </w:p>
        <w:p w:rsidR="006A1653" w:rsidRPr="006A1653" w:rsidRDefault="006A1653" w:rsidP="006A1653">
          <w:pPr>
            <w:spacing w:after="384" w:line="384" w:lineRule="atLeast"/>
            <w:rPr>
              <w:rFonts w:eastAsia="Times New Roman" w:cs="Times New Roman"/>
              <w:sz w:val="24"/>
              <w:szCs w:val="24"/>
            </w:rPr>
          </w:pPr>
          <w:r w:rsidRPr="006A1653">
            <w:rPr>
              <w:rFonts w:eastAsia="Times New Roman" w:cs="Times New Roman"/>
              <w:sz w:val="24"/>
              <w:szCs w:val="24"/>
            </w:rPr>
            <w:t>Organizations currently represented in the working group include: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5238"/>
            <w:gridCol w:w="5238"/>
          </w:tblGrid>
          <w:tr w:rsidR="006A1653" w:rsidRPr="006A1653" w:rsidTr="006A1653">
            <w:tc>
              <w:tcPr>
                <w:tcW w:w="5238" w:type="dxa"/>
                <w:tcBorders>
                  <w:top w:val="nil"/>
                  <w:left w:val="nil"/>
                  <w:bottom w:val="nil"/>
                </w:tcBorders>
              </w:tcPr>
              <w:p w:rsidR="006A1653" w:rsidRPr="006A1653" w:rsidRDefault="006A1653" w:rsidP="006A1653">
                <w:r w:rsidRPr="006A1653">
                  <w:rPr>
                    <w:b/>
                    <w:i/>
                    <w:iCs/>
                  </w:rPr>
                  <w:t>Government</w:t>
                </w:r>
                <w:r w:rsidRPr="006A1653">
                  <w:rPr>
                    <w:b/>
                  </w:rPr>
                  <w:t>   </w:t>
                </w:r>
                <w:r w:rsidRPr="006A1653">
                  <w:t>       </w:t>
                </w:r>
                <w:r w:rsidRPr="006A1653">
                  <w:br/>
                  <w:t>City of Seattle IT</w:t>
                </w:r>
                <w:r w:rsidRPr="006A1653">
                  <w:br/>
                  <w:t>Seattle Police Department, Victim Support Team</w:t>
                </w:r>
              </w:p>
              <w:p w:rsidR="006A1653" w:rsidRPr="006A1653" w:rsidRDefault="006A1653" w:rsidP="006A1653"/>
              <w:p w:rsidR="006A1653" w:rsidRPr="006A1653" w:rsidRDefault="006A1653" w:rsidP="006A1653"/>
              <w:p w:rsidR="006A1653" w:rsidRPr="006A1653" w:rsidRDefault="006A1653" w:rsidP="006A1653">
                <w:r w:rsidRPr="006A1653">
                  <w:rPr>
                    <w:b/>
                    <w:i/>
                    <w:iCs/>
                  </w:rPr>
                  <w:t>Academic</w:t>
                </w:r>
                <w:r w:rsidRPr="006A1653">
                  <w:t>         </w:t>
                </w:r>
                <w:r w:rsidRPr="006A1653">
                  <w:br/>
                  <w:t>University of Washington SafeCampus</w:t>
                </w:r>
                <w:r w:rsidRPr="006A1653">
                  <w:br/>
                  <w:t>University of Washington Tech Policy Lab</w:t>
                </w:r>
                <w:r w:rsidRPr="006A1653">
                  <w:br/>
                  <w:t>University of Washington Victim Advocacy Services</w:t>
                </w:r>
              </w:p>
              <w:p w:rsidR="006A1653" w:rsidRPr="006A1653" w:rsidRDefault="006A1653" w:rsidP="006A1653"/>
            </w:tc>
            <w:tc>
              <w:tcPr>
                <w:tcW w:w="5238" w:type="dxa"/>
                <w:tcBorders>
                  <w:top w:val="nil"/>
                  <w:bottom w:val="nil"/>
                  <w:right w:val="nil"/>
                </w:tcBorders>
              </w:tcPr>
              <w:p w:rsidR="006A1653" w:rsidRPr="006A1653" w:rsidRDefault="006A1653" w:rsidP="006A1653">
                <w:r w:rsidRPr="006A1653">
                  <w:rPr>
                    <w:b/>
                    <w:i/>
                    <w:iCs/>
                  </w:rPr>
                  <w:t>Non-profit</w:t>
                </w:r>
                <w:r w:rsidRPr="006A1653">
                  <w:br/>
                  <w:t>New Beginnings</w:t>
                </w:r>
                <w:r w:rsidRPr="006A1653">
                  <w:br/>
                  <w:t>Washington State Coalition Against Domestic Violence</w:t>
                </w:r>
              </w:p>
              <w:p w:rsidR="006A1653" w:rsidRPr="006A1653" w:rsidRDefault="006A1653" w:rsidP="006A1653"/>
              <w:p w:rsidR="006A1653" w:rsidRDefault="006A1653" w:rsidP="006A1653">
                <w:pPr>
                  <w:rPr>
                    <w:b/>
                    <w:i/>
                    <w:iCs/>
                  </w:rPr>
                </w:pPr>
              </w:p>
              <w:p w:rsidR="006A1653" w:rsidRPr="006A1653" w:rsidRDefault="006A1653" w:rsidP="006A1653">
                <w:r w:rsidRPr="006A1653">
                  <w:rPr>
                    <w:b/>
                    <w:i/>
                    <w:iCs/>
                  </w:rPr>
                  <w:t>Technology</w:t>
                </w:r>
                <w:r w:rsidRPr="006A1653">
                  <w:br/>
                  <w:t>Avvo</w:t>
                </w:r>
                <w:r w:rsidRPr="006A1653">
                  <w:br/>
                  <w:t>Valassis Digital</w:t>
                </w:r>
              </w:p>
              <w:p w:rsidR="006A1653" w:rsidRPr="006A1653" w:rsidRDefault="006A1653"/>
            </w:tc>
          </w:tr>
        </w:tbl>
        <w:p w:rsidR="008E5763" w:rsidRDefault="008E5763"/>
        <w:p w:rsidR="008E5763" w:rsidRDefault="008E5763">
          <w:r>
            <w:br w:type="page"/>
          </w:r>
        </w:p>
        <w:p w:rsidR="008E5763" w:rsidRDefault="006A1653"/>
      </w:sdtContent>
    </w:sdt>
    <w:p w:rsidR="00C72B3F" w:rsidRPr="006A1653" w:rsidRDefault="008E5763" w:rsidP="008E5763">
      <w:pPr>
        <w:spacing w:before="240" w:after="0"/>
      </w:pPr>
      <w:r>
        <w:rPr>
          <w:b/>
          <w:sz w:val="36"/>
        </w:rPr>
        <w:t>T</w:t>
      </w:r>
      <w:r w:rsidR="009D61DF">
        <w:rPr>
          <w:b/>
          <w:sz w:val="36"/>
        </w:rPr>
        <w:t>ECC</w:t>
      </w:r>
      <w:r w:rsidR="009D61DF" w:rsidRPr="009D61DF">
        <w:rPr>
          <w:b/>
          <w:sz w:val="36"/>
        </w:rPr>
        <w:t xml:space="preserve"> Clinic</w:t>
      </w:r>
    </w:p>
    <w:p w:rsidR="009D61DF" w:rsidRPr="008E5763" w:rsidRDefault="009D61DF" w:rsidP="008E5763">
      <w:pPr>
        <w:spacing w:before="240"/>
        <w:rPr>
          <w:b/>
          <w:bCs/>
          <w:i/>
          <w:sz w:val="32"/>
        </w:rPr>
      </w:pPr>
      <w:r w:rsidRPr="008E5763">
        <w:rPr>
          <w:b/>
          <w:bCs/>
          <w:i/>
          <w:sz w:val="32"/>
        </w:rPr>
        <w:t>Supporting Survivors of Technology-Enabled Coercive Control (TECC)</w:t>
      </w:r>
    </w:p>
    <w:p w:rsidR="009D61DF" w:rsidRPr="008E5763" w:rsidRDefault="009D61DF">
      <w:pPr>
        <w:rPr>
          <w:b/>
          <w:bCs/>
          <w:sz w:val="28"/>
          <w:szCs w:val="28"/>
        </w:rPr>
      </w:pPr>
      <w:r w:rsidRPr="008E5763">
        <w:rPr>
          <w:b/>
          <w:bCs/>
          <w:sz w:val="28"/>
          <w:szCs w:val="28"/>
        </w:rPr>
        <w:t>Description:</w:t>
      </w:r>
      <w:bookmarkStart w:id="0" w:name="_GoBack"/>
      <w:bookmarkEnd w:id="0"/>
    </w:p>
    <w:p w:rsidR="009D61DF" w:rsidRPr="008E5763" w:rsidRDefault="008E5763" w:rsidP="006A1653">
      <w:pPr>
        <w:pStyle w:val="ListParagraph"/>
        <w:numPr>
          <w:ilvl w:val="0"/>
          <w:numId w:val="4"/>
        </w:numPr>
        <w:rPr>
          <w:b/>
          <w:bCs/>
        </w:rPr>
      </w:pPr>
      <w:r w:rsidRPr="008E5763">
        <w:rPr>
          <w:sz w:val="20"/>
          <w:szCs w:val="20"/>
          <w:shd w:val="clear" w:color="auto" w:fill="FFFFFF"/>
        </w:rPr>
        <w:t>Technology Enabled Coercive Control (TECC) is defined as the abusive use of technology to stalk, monitor, expose, impersonate and/or humiliate a target. This abusive use of technology can manifest in intimate partner relationships, stalking situations, online harassment, sexual harassment/assault, and in numerous other scenarios of interpersonal abuse.</w:t>
      </w:r>
      <w:r w:rsidRPr="008E5763">
        <w:rPr>
          <w:sz w:val="20"/>
          <w:szCs w:val="20"/>
          <w:shd w:val="clear" w:color="auto" w:fill="FFFFFF"/>
        </w:rPr>
        <w:t xml:space="preserve"> </w:t>
      </w:r>
      <w:r w:rsidR="000F0A81" w:rsidRPr="008E5763">
        <w:t>The TECC Clinic is a v</w:t>
      </w:r>
      <w:r w:rsidR="000F0A81" w:rsidRPr="008E5763">
        <w:t>olunteer program for technologists to provide direc</w:t>
      </w:r>
      <w:r w:rsidR="000F0A81" w:rsidRPr="008E5763">
        <w:t xml:space="preserve">t technology support to survivors who are experiencing </w:t>
      </w:r>
      <w:r w:rsidR="006A1653" w:rsidRPr="008E5763">
        <w:t xml:space="preserve">abusive use of technology.  Volunteers can help to secure someone’s </w:t>
      </w:r>
      <w:r w:rsidRPr="008E5763">
        <w:t xml:space="preserve">personal </w:t>
      </w:r>
      <w:r w:rsidR="006A1653" w:rsidRPr="008E5763">
        <w:t>devices and online activity,</w:t>
      </w:r>
      <w:r w:rsidRPr="008E5763">
        <w:t xml:space="preserve"> explain</w:t>
      </w:r>
      <w:r w:rsidR="006A1653" w:rsidRPr="008E5763">
        <w:t xml:space="preserve"> how to preserve </w:t>
      </w:r>
      <w:r w:rsidRPr="008E5763">
        <w:t>digital evidence</w:t>
      </w:r>
      <w:r w:rsidR="006A1653" w:rsidRPr="008E5763">
        <w:t>, and how to incorporate these ste</w:t>
      </w:r>
      <w:r w:rsidRPr="008E5763">
        <w:t>ps into their</w:t>
      </w:r>
      <w:r w:rsidR="006A1653" w:rsidRPr="008E5763">
        <w:t xml:space="preserve"> safety plan.</w:t>
      </w:r>
      <w:r w:rsidRPr="008E5763">
        <w:t xml:space="preserve">  </w:t>
      </w:r>
    </w:p>
    <w:p w:rsidR="009D61DF" w:rsidRPr="008E5763" w:rsidRDefault="009D61DF" w:rsidP="008E5763">
      <w:pPr>
        <w:spacing w:after="0"/>
        <w:rPr>
          <w:b/>
          <w:bCs/>
          <w:sz w:val="28"/>
        </w:rPr>
      </w:pPr>
      <w:r w:rsidRPr="008E5763">
        <w:rPr>
          <w:b/>
          <w:bCs/>
          <w:sz w:val="28"/>
        </w:rPr>
        <w:t>TECC Volunteers:</w:t>
      </w:r>
    </w:p>
    <w:p w:rsidR="00000000" w:rsidRPr="008E5763" w:rsidRDefault="00476755" w:rsidP="008E5763">
      <w:pPr>
        <w:numPr>
          <w:ilvl w:val="1"/>
          <w:numId w:val="1"/>
        </w:numPr>
        <w:spacing w:line="240" w:lineRule="auto"/>
        <w:rPr>
          <w:bCs/>
        </w:rPr>
      </w:pPr>
      <w:r w:rsidRPr="008E5763">
        <w:rPr>
          <w:bCs/>
        </w:rPr>
        <w:t>Assess for and document tech points of compromise</w:t>
      </w:r>
    </w:p>
    <w:p w:rsidR="00000000" w:rsidRPr="008E5763" w:rsidRDefault="00476755" w:rsidP="009D61DF">
      <w:pPr>
        <w:numPr>
          <w:ilvl w:val="1"/>
          <w:numId w:val="1"/>
        </w:numPr>
        <w:spacing w:line="240" w:lineRule="auto"/>
        <w:rPr>
          <w:bCs/>
        </w:rPr>
      </w:pPr>
      <w:r w:rsidRPr="008E5763">
        <w:rPr>
          <w:bCs/>
        </w:rPr>
        <w:t>Identify options to addres</w:t>
      </w:r>
      <w:r w:rsidRPr="008E5763">
        <w:rPr>
          <w:bCs/>
        </w:rPr>
        <w:t>s points of compromise</w:t>
      </w:r>
    </w:p>
    <w:p w:rsidR="00000000" w:rsidRPr="008E5763" w:rsidRDefault="00476755" w:rsidP="009D61DF">
      <w:pPr>
        <w:numPr>
          <w:ilvl w:val="1"/>
          <w:numId w:val="1"/>
        </w:numPr>
        <w:spacing w:line="240" w:lineRule="auto"/>
        <w:rPr>
          <w:bCs/>
        </w:rPr>
      </w:pPr>
      <w:r w:rsidRPr="008E5763">
        <w:rPr>
          <w:bCs/>
        </w:rPr>
        <w:t>Help with tech solutions that support client's goals </w:t>
      </w:r>
    </w:p>
    <w:p w:rsidR="00000000" w:rsidRPr="008E5763" w:rsidRDefault="00476755" w:rsidP="009D61DF">
      <w:pPr>
        <w:numPr>
          <w:ilvl w:val="1"/>
          <w:numId w:val="1"/>
        </w:numPr>
        <w:spacing w:line="240" w:lineRule="auto"/>
        <w:rPr>
          <w:bCs/>
        </w:rPr>
      </w:pPr>
      <w:r w:rsidRPr="008E5763">
        <w:rPr>
          <w:bCs/>
        </w:rPr>
        <w:t>Assist with implementing those options when practical</w:t>
      </w:r>
    </w:p>
    <w:p w:rsidR="00000000" w:rsidRPr="008E5763" w:rsidRDefault="00476755" w:rsidP="009D61DF">
      <w:pPr>
        <w:numPr>
          <w:ilvl w:val="1"/>
          <w:numId w:val="1"/>
        </w:numPr>
        <w:spacing w:line="240" w:lineRule="auto"/>
        <w:rPr>
          <w:bCs/>
        </w:rPr>
      </w:pPr>
      <w:r w:rsidRPr="008E5763">
        <w:rPr>
          <w:bCs/>
        </w:rPr>
        <w:t>Refer to advocates for questions beyond tech</w:t>
      </w:r>
    </w:p>
    <w:p w:rsidR="00000000" w:rsidRPr="008E5763" w:rsidRDefault="00476755" w:rsidP="009D61DF">
      <w:pPr>
        <w:numPr>
          <w:ilvl w:val="1"/>
          <w:numId w:val="1"/>
        </w:numPr>
        <w:spacing w:line="240" w:lineRule="auto"/>
        <w:rPr>
          <w:bCs/>
        </w:rPr>
      </w:pPr>
      <w:r w:rsidRPr="008E5763">
        <w:rPr>
          <w:bCs/>
        </w:rPr>
        <w:t>Maintain confidentiality </w:t>
      </w:r>
    </w:p>
    <w:p w:rsidR="009D61DF" w:rsidRPr="008E5763" w:rsidRDefault="009D61DF" w:rsidP="008E5763">
      <w:pPr>
        <w:spacing w:after="0"/>
        <w:rPr>
          <w:b/>
          <w:bCs/>
          <w:sz w:val="28"/>
        </w:rPr>
      </w:pPr>
      <w:r w:rsidRPr="008E5763">
        <w:rPr>
          <w:b/>
          <w:bCs/>
          <w:sz w:val="28"/>
        </w:rPr>
        <w:t>Partnering Advocates:</w:t>
      </w:r>
    </w:p>
    <w:p w:rsidR="009D61DF" w:rsidRPr="008E5763" w:rsidRDefault="009D61DF" w:rsidP="008E5763">
      <w:pPr>
        <w:numPr>
          <w:ilvl w:val="1"/>
          <w:numId w:val="2"/>
        </w:numPr>
        <w:spacing w:line="240" w:lineRule="auto"/>
        <w:rPr>
          <w:bCs/>
        </w:rPr>
      </w:pPr>
      <w:r w:rsidRPr="008E5763">
        <w:rPr>
          <w:bCs/>
        </w:rPr>
        <w:t>Identify potential TECC Clinic participants and complete referral</w:t>
      </w:r>
    </w:p>
    <w:p w:rsidR="009D61DF" w:rsidRPr="008E5763" w:rsidRDefault="009D61DF" w:rsidP="009D61DF">
      <w:pPr>
        <w:numPr>
          <w:ilvl w:val="1"/>
          <w:numId w:val="2"/>
        </w:numPr>
        <w:spacing w:line="240" w:lineRule="auto"/>
        <w:rPr>
          <w:bCs/>
        </w:rPr>
      </w:pPr>
      <w:r w:rsidRPr="008E5763">
        <w:rPr>
          <w:bCs/>
        </w:rPr>
        <w:t>Accompany to TECC clinic if possible</w:t>
      </w:r>
    </w:p>
    <w:p w:rsidR="00000000" w:rsidRPr="008E5763" w:rsidRDefault="009D61DF" w:rsidP="009D61DF">
      <w:pPr>
        <w:numPr>
          <w:ilvl w:val="1"/>
          <w:numId w:val="2"/>
        </w:numPr>
        <w:spacing w:line="240" w:lineRule="auto"/>
        <w:rPr>
          <w:bCs/>
        </w:rPr>
      </w:pPr>
      <w:r w:rsidRPr="008E5763">
        <w:rPr>
          <w:bCs/>
        </w:rPr>
        <w:t xml:space="preserve">Comprehensive safety planning </w:t>
      </w:r>
    </w:p>
    <w:p w:rsidR="00000000" w:rsidRPr="008E5763" w:rsidRDefault="00476755" w:rsidP="009D61DF">
      <w:pPr>
        <w:numPr>
          <w:ilvl w:val="1"/>
          <w:numId w:val="2"/>
        </w:numPr>
        <w:spacing w:line="240" w:lineRule="auto"/>
        <w:rPr>
          <w:bCs/>
        </w:rPr>
      </w:pPr>
      <w:r w:rsidRPr="008E5763">
        <w:rPr>
          <w:bCs/>
        </w:rPr>
        <w:t>Provide information about reporting options </w:t>
      </w:r>
      <w:r w:rsidR="009D61DF" w:rsidRPr="008E5763">
        <w:rPr>
          <w:bCs/>
        </w:rPr>
        <w:t>and a</w:t>
      </w:r>
      <w:r w:rsidRPr="008E5763">
        <w:rPr>
          <w:bCs/>
        </w:rPr>
        <w:t>ssistance through criminal/legal proceedings </w:t>
      </w:r>
    </w:p>
    <w:p w:rsidR="00000000" w:rsidRPr="008E5763" w:rsidRDefault="00476755" w:rsidP="009D61DF">
      <w:pPr>
        <w:numPr>
          <w:ilvl w:val="1"/>
          <w:numId w:val="2"/>
        </w:numPr>
        <w:spacing w:line="240" w:lineRule="auto"/>
        <w:rPr>
          <w:bCs/>
        </w:rPr>
      </w:pPr>
      <w:r w:rsidRPr="008E5763">
        <w:rPr>
          <w:bCs/>
        </w:rPr>
        <w:t>Maintain confidentiality </w:t>
      </w:r>
    </w:p>
    <w:p w:rsidR="009D61DF" w:rsidRPr="008E5763" w:rsidRDefault="009D61DF" w:rsidP="008E5763">
      <w:pPr>
        <w:spacing w:after="0"/>
        <w:rPr>
          <w:b/>
          <w:bCs/>
          <w:sz w:val="28"/>
        </w:rPr>
      </w:pPr>
      <w:r w:rsidRPr="008E5763">
        <w:rPr>
          <w:b/>
          <w:bCs/>
          <w:sz w:val="28"/>
        </w:rPr>
        <w:t xml:space="preserve">TECC </w:t>
      </w:r>
      <w:r w:rsidR="008E5763" w:rsidRPr="008E5763">
        <w:rPr>
          <w:b/>
          <w:bCs/>
          <w:sz w:val="28"/>
        </w:rPr>
        <w:t>Clinic Appointment</w:t>
      </w:r>
      <w:r w:rsidRPr="008E5763">
        <w:rPr>
          <w:b/>
          <w:bCs/>
          <w:sz w:val="28"/>
        </w:rPr>
        <w:t>:</w:t>
      </w:r>
    </w:p>
    <w:p w:rsidR="009D61DF" w:rsidRPr="008E5763" w:rsidRDefault="009D61DF" w:rsidP="008E5763">
      <w:pPr>
        <w:numPr>
          <w:ilvl w:val="1"/>
          <w:numId w:val="2"/>
        </w:numPr>
        <w:spacing w:line="240" w:lineRule="auto"/>
        <w:rPr>
          <w:bCs/>
        </w:rPr>
      </w:pPr>
      <w:r w:rsidRPr="008E5763">
        <w:rPr>
          <w:bCs/>
        </w:rPr>
        <w:t xml:space="preserve">Introduce roles of TECC Volunteer and Advocate.  </w:t>
      </w:r>
    </w:p>
    <w:p w:rsidR="00000000" w:rsidRPr="008E5763" w:rsidRDefault="009D61DF" w:rsidP="009D61DF">
      <w:pPr>
        <w:numPr>
          <w:ilvl w:val="1"/>
          <w:numId w:val="2"/>
        </w:numPr>
        <w:spacing w:line="240" w:lineRule="auto"/>
        <w:rPr>
          <w:bCs/>
        </w:rPr>
      </w:pPr>
      <w:r w:rsidRPr="008E5763">
        <w:rPr>
          <w:bCs/>
        </w:rPr>
        <w:t>R</w:t>
      </w:r>
      <w:r w:rsidR="00476755" w:rsidRPr="008E5763">
        <w:rPr>
          <w:bCs/>
        </w:rPr>
        <w:t>eview intake paperwork </w:t>
      </w:r>
    </w:p>
    <w:p w:rsidR="00000000" w:rsidRPr="008E5763" w:rsidRDefault="00476755" w:rsidP="009D61DF">
      <w:pPr>
        <w:numPr>
          <w:ilvl w:val="1"/>
          <w:numId w:val="2"/>
        </w:numPr>
        <w:spacing w:line="240" w:lineRule="auto"/>
        <w:rPr>
          <w:bCs/>
        </w:rPr>
      </w:pPr>
      <w:r w:rsidRPr="008E5763">
        <w:rPr>
          <w:bCs/>
        </w:rPr>
        <w:t xml:space="preserve">Clarify </w:t>
      </w:r>
      <w:r w:rsidR="009D61DF" w:rsidRPr="008E5763">
        <w:rPr>
          <w:bCs/>
        </w:rPr>
        <w:t xml:space="preserve">individual’s personal </w:t>
      </w:r>
      <w:r w:rsidRPr="008E5763">
        <w:rPr>
          <w:bCs/>
        </w:rPr>
        <w:t>g</w:t>
      </w:r>
      <w:r w:rsidR="009D61DF" w:rsidRPr="008E5763">
        <w:rPr>
          <w:bCs/>
        </w:rPr>
        <w:t>oals, barriers and i</w:t>
      </w:r>
      <w:r w:rsidRPr="008E5763">
        <w:rPr>
          <w:bCs/>
        </w:rPr>
        <w:t>dentify options </w:t>
      </w:r>
    </w:p>
    <w:p w:rsidR="00000000" w:rsidRPr="008E5763" w:rsidRDefault="009D61DF" w:rsidP="009D61DF">
      <w:pPr>
        <w:numPr>
          <w:ilvl w:val="1"/>
          <w:numId w:val="2"/>
        </w:numPr>
        <w:spacing w:line="240" w:lineRule="auto"/>
        <w:rPr>
          <w:bCs/>
        </w:rPr>
      </w:pPr>
      <w:r w:rsidRPr="008E5763">
        <w:rPr>
          <w:bCs/>
        </w:rPr>
        <w:t>Discuss potential c</w:t>
      </w:r>
      <w:r w:rsidR="00476755" w:rsidRPr="008E5763">
        <w:rPr>
          <w:bCs/>
        </w:rPr>
        <w:t>onsequences</w:t>
      </w:r>
    </w:p>
    <w:p w:rsidR="00000000" w:rsidRPr="008E5763" w:rsidRDefault="00476755" w:rsidP="009D61DF">
      <w:pPr>
        <w:numPr>
          <w:ilvl w:val="1"/>
          <w:numId w:val="2"/>
        </w:numPr>
        <w:spacing w:line="240" w:lineRule="auto"/>
        <w:rPr>
          <w:bCs/>
        </w:rPr>
      </w:pPr>
      <w:r w:rsidRPr="008E5763">
        <w:rPr>
          <w:bCs/>
        </w:rPr>
        <w:t xml:space="preserve">Implement </w:t>
      </w:r>
      <w:r w:rsidR="009D61DF" w:rsidRPr="008E5763">
        <w:rPr>
          <w:bCs/>
        </w:rPr>
        <w:t>immediate o</w:t>
      </w:r>
      <w:r w:rsidRPr="008E5763">
        <w:rPr>
          <w:bCs/>
        </w:rPr>
        <w:t>ptions </w:t>
      </w:r>
    </w:p>
    <w:p w:rsidR="00000000" w:rsidRPr="008E5763" w:rsidRDefault="009D61DF" w:rsidP="009D61DF">
      <w:pPr>
        <w:numPr>
          <w:ilvl w:val="1"/>
          <w:numId w:val="2"/>
        </w:numPr>
        <w:spacing w:line="240" w:lineRule="auto"/>
        <w:rPr>
          <w:bCs/>
        </w:rPr>
      </w:pPr>
      <w:r w:rsidRPr="008E5763">
        <w:rPr>
          <w:bCs/>
        </w:rPr>
        <w:t>Discuss next s</w:t>
      </w:r>
      <w:r w:rsidR="00476755" w:rsidRPr="008E5763">
        <w:rPr>
          <w:bCs/>
        </w:rPr>
        <w:t>teps </w:t>
      </w:r>
    </w:p>
    <w:p w:rsidR="009D61DF" w:rsidRPr="008E5763" w:rsidRDefault="009D61DF" w:rsidP="008E5763">
      <w:pPr>
        <w:numPr>
          <w:ilvl w:val="1"/>
          <w:numId w:val="2"/>
        </w:numPr>
        <w:spacing w:line="240" w:lineRule="auto"/>
        <w:rPr>
          <w:bCs/>
        </w:rPr>
      </w:pPr>
      <w:r w:rsidRPr="008E5763">
        <w:rPr>
          <w:bCs/>
        </w:rPr>
        <w:lastRenderedPageBreak/>
        <w:t>Provide d</w:t>
      </w:r>
      <w:r w:rsidR="00476755" w:rsidRPr="008E5763">
        <w:rPr>
          <w:bCs/>
        </w:rPr>
        <w:t>ocumentation</w:t>
      </w:r>
      <w:r w:rsidRPr="008E5763">
        <w:rPr>
          <w:bCs/>
        </w:rPr>
        <w:t xml:space="preserve"> </w:t>
      </w:r>
      <w:r w:rsidR="00476755" w:rsidRPr="008E5763">
        <w:rPr>
          <w:bCs/>
        </w:rPr>
        <w:t> </w:t>
      </w:r>
    </w:p>
    <w:sectPr w:rsidR="009D61DF" w:rsidRPr="008E5763" w:rsidSect="008E5763"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40B23"/>
    <w:multiLevelType w:val="multilevel"/>
    <w:tmpl w:val="C0F0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F6A30"/>
    <w:multiLevelType w:val="multilevel"/>
    <w:tmpl w:val="FEB6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94EA4"/>
    <w:multiLevelType w:val="hybridMultilevel"/>
    <w:tmpl w:val="7E32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03A8E"/>
    <w:multiLevelType w:val="hybridMultilevel"/>
    <w:tmpl w:val="0D8C043C"/>
    <w:lvl w:ilvl="0" w:tplc="E924A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840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27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AE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66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AD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80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CE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66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425FFA"/>
    <w:multiLevelType w:val="hybridMultilevel"/>
    <w:tmpl w:val="A0185E2E"/>
    <w:lvl w:ilvl="0" w:tplc="711E0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03E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C3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141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8E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0C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E8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4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8E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ECC6957"/>
    <w:multiLevelType w:val="hybridMultilevel"/>
    <w:tmpl w:val="122A33D8"/>
    <w:lvl w:ilvl="0" w:tplc="2C284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DC1F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E1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82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28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A0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A4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D07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CD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DF"/>
    <w:rsid w:val="000F0A81"/>
    <w:rsid w:val="006A1653"/>
    <w:rsid w:val="008E5763"/>
    <w:rsid w:val="009D61DF"/>
    <w:rsid w:val="00C7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5AAA"/>
  <w15:chartTrackingRefBased/>
  <w15:docId w15:val="{97FA2503-5B9D-4421-A324-0AB1C999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1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A1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1D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A165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A1653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6A16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A16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A16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1653"/>
    <w:rPr>
      <w:i/>
      <w:iCs/>
    </w:rPr>
  </w:style>
  <w:style w:type="table" w:styleId="TableGrid">
    <w:name w:val="Table Grid"/>
    <w:basedOn w:val="TableNormal"/>
    <w:uiPriority w:val="59"/>
    <w:unhideWhenUsed/>
    <w:rsid w:val="006A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95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9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7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0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8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7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6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9940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8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37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12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9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9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8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7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2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01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0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0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9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7123 Lockhart, Dana (was Swenson)</dc:creator>
  <cp:keywords/>
  <dc:description/>
  <cp:lastModifiedBy>7123 Lockhart, Dana (was Swenson)</cp:lastModifiedBy>
  <cp:revision>1</cp:revision>
  <cp:lastPrinted>2017-10-06T19:39:00Z</cp:lastPrinted>
  <dcterms:created xsi:type="dcterms:W3CDTF">2017-10-06T18:59:00Z</dcterms:created>
  <dcterms:modified xsi:type="dcterms:W3CDTF">2017-10-06T19:45:00Z</dcterms:modified>
</cp:coreProperties>
</file>