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7DFF2" w14:textId="77777777" w:rsidR="00A14355" w:rsidRPr="00A14355" w:rsidRDefault="00A14355" w:rsidP="00A14355">
      <w:pPr>
        <w:pStyle w:val="NormalWeb"/>
      </w:pPr>
      <w:r w:rsidRPr="00A14355">
        <w:rPr>
          <w:rStyle w:val="Strong"/>
        </w:rPr>
        <w:t>What is the goal of your PhD?</w:t>
      </w:r>
    </w:p>
    <w:p w14:paraId="40F71D28" w14:textId="77777777" w:rsidR="00A14355" w:rsidRPr="00A14355" w:rsidRDefault="00A14355" w:rsidP="00A14355">
      <w:pPr>
        <w:pStyle w:val="NormalWeb"/>
      </w:pPr>
      <w:r w:rsidRPr="00A14355">
        <w:rPr>
          <w:rStyle w:val="Emphasis"/>
        </w:rPr>
        <w:t>What do I want to be known for?</w:t>
      </w:r>
    </w:p>
    <w:p w14:paraId="090C5CAF" w14:textId="5D371676" w:rsidR="00B1498C" w:rsidRDefault="00A14355" w:rsidP="00A14355">
      <w:pPr>
        <w:pStyle w:val="NormalWeb"/>
      </w:pPr>
      <w:r w:rsidRPr="00A14355">
        <w:t xml:space="preserve">I aim to </w:t>
      </w:r>
      <w:r w:rsidR="00B1498C">
        <w:t>compare and contrast NATO and EU internal security approaches to interoperability and produce the first side-by-side account of how each is built, justified, and governed in two European security domains. Interoperability is not a single technical property that systems either have or lack. It is political and takes different forms depending on who is building it and under what constraints. My aim is to account for that variation empirically, and to specify how sovereignty and power are distributed in each form. In four to five years I want to be known as the critical data studies and security studies scholar who established interoperability as a comparative object across civilian and military security, rather than as a specialist in any one case.</w:t>
      </w:r>
    </w:p>
    <w:p w14:paraId="44E4A8CB" w14:textId="42327801" w:rsidR="00F82007" w:rsidRDefault="00F82007" w:rsidP="00A14355">
      <w:pPr>
        <w:pStyle w:val="NormalWeb"/>
      </w:pPr>
      <w:r>
        <w:t>This document firstly summarises what research I have accomplished on the topic, why the comparison works and the research questions I seek to answer. Then I examine how this PhD plan fits within DATAGOV before outlining the main methodological toolkit I will use.</w:t>
      </w:r>
    </w:p>
    <w:p w14:paraId="52D6E6A8" w14:textId="6C511226" w:rsidR="00A14355" w:rsidRPr="00A14355" w:rsidRDefault="00F82007" w:rsidP="00A14355">
      <w:pPr>
        <w:pStyle w:val="NormalWeb"/>
      </w:pPr>
      <w:r>
        <w:rPr>
          <w:rStyle w:val="Emphasis"/>
        </w:rPr>
        <w:t>A</w:t>
      </w:r>
      <w:r w:rsidR="00A14355" w:rsidRPr="00A14355">
        <w:rPr>
          <w:rStyle w:val="Emphasis"/>
        </w:rPr>
        <w:t xml:space="preserve"> summary of my</w:t>
      </w:r>
      <w:r>
        <w:rPr>
          <w:rStyle w:val="Emphasis"/>
        </w:rPr>
        <w:t xml:space="preserve"> current</w:t>
      </w:r>
      <w:r w:rsidR="00A14355" w:rsidRPr="00A14355">
        <w:rPr>
          <w:rStyle w:val="Emphasis"/>
        </w:rPr>
        <w:t xml:space="preserve"> </w:t>
      </w:r>
      <w:r>
        <w:rPr>
          <w:rStyle w:val="Emphasis"/>
        </w:rPr>
        <w:t>work</w:t>
      </w:r>
      <w:r w:rsidR="00A14355" w:rsidRPr="00A14355">
        <w:rPr>
          <w:rStyle w:val="Emphasis"/>
        </w:rPr>
        <w:t xml:space="preserve"> and findings:</w:t>
      </w:r>
    </w:p>
    <w:p w14:paraId="1C466D50" w14:textId="37CB1B3E" w:rsidR="00B1498C" w:rsidRDefault="00A14355" w:rsidP="00A14355">
      <w:pPr>
        <w:pStyle w:val="NormalWeb"/>
      </w:pPr>
      <w:r w:rsidRPr="00A14355">
        <w:t>I have completed a structured literature review of scholarly debates around DG HOME</w:t>
      </w:r>
      <w:r w:rsidR="00F82007">
        <w:t>’s</w:t>
      </w:r>
      <w:r w:rsidRPr="00A14355">
        <w:t xml:space="preserve">, the EU Commission's department overseeing </w:t>
      </w:r>
      <w:r w:rsidR="00F82007">
        <w:t xml:space="preserve">the </w:t>
      </w:r>
      <w:r w:rsidRPr="00A14355">
        <w:t>internal security</w:t>
      </w:r>
      <w:r w:rsidR="00F82007">
        <w:t xml:space="preserve">, </w:t>
      </w:r>
      <w:r w:rsidRPr="00A14355">
        <w:t>interoperability agenda. The agenda is t</w:t>
      </w:r>
      <w:r w:rsidR="009457EF">
        <w:t>o</w:t>
      </w:r>
      <w:r w:rsidRPr="00A14355">
        <w:t xml:space="preserve"> </w:t>
      </w:r>
      <w:r w:rsidR="009457EF">
        <w:t>connect</w:t>
      </w:r>
      <w:r w:rsidRPr="00A14355">
        <w:t xml:space="preserve"> Schengen-wide policing databases through biometric identification technology. What I consider most intriguing is not the architecture itself but understanding more practically how transnational identification databases are used as political tools to reshape power relations in the security context.</w:t>
      </w:r>
    </w:p>
    <w:p w14:paraId="250BE1A1" w14:textId="2862C97E" w:rsidR="00B1498C" w:rsidRPr="00A14355" w:rsidRDefault="00B1498C" w:rsidP="00A14355">
      <w:pPr>
        <w:pStyle w:val="NormalWeb"/>
      </w:pPr>
      <w:r>
        <w:t xml:space="preserve">My literature review has produced multiple theories and ways </w:t>
      </w:r>
      <w:r w:rsidR="009457EF">
        <w:t>of</w:t>
      </w:r>
      <w:r>
        <w:t xml:space="preserve"> describing how infrastructures exercise power, but it has developed it almost entirely on the DG HOME case.</w:t>
      </w:r>
      <w:r w:rsidR="00EC441C">
        <w:t xml:space="preserve"> I will explain four ways sover</w:t>
      </w:r>
      <w:r w:rsidR="009457EF">
        <w:t>e</w:t>
      </w:r>
      <w:r w:rsidR="00EC441C">
        <w:t xml:space="preserve">ignty and power </w:t>
      </w:r>
      <w:r w:rsidR="009457EF">
        <w:t>are</w:t>
      </w:r>
      <w:r w:rsidR="00EC441C">
        <w:t xml:space="preserve"> redistributed, but</w:t>
      </w:r>
      <w:r>
        <w:t xml:space="preserve"> I treat the four modes below as sensiti</w:t>
      </w:r>
      <w:r w:rsidR="009457EF">
        <w:t>z</w:t>
      </w:r>
      <w:r>
        <w:t>ing concepts rather than propositions awaiting a test.</w:t>
      </w:r>
    </w:p>
    <w:p w14:paraId="3C351970" w14:textId="54A2DC21" w:rsidR="000B0789" w:rsidRDefault="000B0789" w:rsidP="000B0789">
      <w:pPr>
        <w:pStyle w:val="font-claude-response-body"/>
      </w:pPr>
      <w:r>
        <w:t xml:space="preserve">The first, sovereignty through the digital. This refers to </w:t>
      </w:r>
      <w:r w:rsidR="009457EF">
        <w:t>using</w:t>
      </w:r>
      <w:r>
        <w:t xml:space="preserve"> digital tools to govern populations and territory better. Interoperability improves the governance of the Schengen population by risk</w:t>
      </w:r>
      <w:r w:rsidR="009457EF">
        <w:t>-</w:t>
      </w:r>
      <w:r>
        <w:t>assessing border crossers on more data cross</w:t>
      </w:r>
      <w:r w:rsidR="009457EF">
        <w:t>-</w:t>
      </w:r>
      <w:r>
        <w:t xml:space="preserve">databases, reducing information silo's </w:t>
      </w:r>
      <w:r>
        <w:fldChar w:fldCharType="begin"/>
      </w:r>
      <w:r>
        <w:instrText xml:space="preserve"> ADDIN ZOTERO_ITEM CSL_CITATION {"citationID":"27vZ6OxU","properties":{"unsorted":false,"formattedCitation":"(Bellanova et al., 2022)","plainCitation":"(Bellanova et al., 2022)","noteIndex":0},"citationItems":[{"id":21,"uris":["http://zotero.org/users/18301789/items/A3SEIS9M"],"itemData":{"id":21,"type":"article-journal","container-title":"European Security","DOI":"10.1080/09662839.2022.2101887","ISSN":"0966-2839, 1746-1545","issue":"3","journalAbbreviation":"European Security","language":"en","page":"337-355","source":"DOI.org (Crossref)","title":"Digital/sovereignty and European security integration: an introduction","title-short":"Digital/sovereignty and European security integration","volume":"31","author":[{"family":"Bellanova","given":"Rocco"},{"family":"Carrapico","given":"Helena"},{"family":"Duez","given":"Denis"}],"issued":{"date-parts":[["2022",7,3]]}}}],"schema":"https://github.com/citation-style-language/schema/raw/master/csl-citation.json"} </w:instrText>
      </w:r>
      <w:r>
        <w:fldChar w:fldCharType="separate"/>
      </w:r>
      <w:r>
        <w:rPr>
          <w:noProof/>
        </w:rPr>
        <w:t>(Bellanova et al., 2022)</w:t>
      </w:r>
      <w:r>
        <w:fldChar w:fldCharType="end"/>
      </w:r>
      <w:r>
        <w:t xml:space="preserve">. The second is governing </w:t>
      </w:r>
      <w:r w:rsidR="00F82007">
        <w:t>over the</w:t>
      </w:r>
      <w:r>
        <w:t xml:space="preserve"> digital. This refers to the EU's efforts to control its own digital infrastructure independently of external actors. </w:t>
      </w:r>
      <w:r w:rsidR="009457EF">
        <w:t>For example, c</w:t>
      </w:r>
      <w:r>
        <w:t xml:space="preserve">reating digital governance systems outside </w:t>
      </w:r>
      <w:r w:rsidR="009457EF">
        <w:t xml:space="preserve">reliance on </w:t>
      </w:r>
      <w:r>
        <w:t>US big tech.</w:t>
      </w:r>
    </w:p>
    <w:p w14:paraId="2F34782C" w14:textId="007B66BF" w:rsidR="00A14355" w:rsidRPr="00A14355" w:rsidRDefault="00A14355" w:rsidP="00A14355">
      <w:pPr>
        <w:pStyle w:val="NormalWeb"/>
      </w:pPr>
      <w:r w:rsidRPr="00A14355">
        <w:t xml:space="preserve">A third perspective, argued by </w:t>
      </w:r>
      <w:r w:rsidR="008E7ADE">
        <w:fldChar w:fldCharType="begin"/>
      </w:r>
      <w:r w:rsidR="008E7ADE">
        <w:instrText xml:space="preserve"> ADDIN ZOTERO_ITEM CSL_CITATION {"citationID":"EE5XlRIK","properties":{"unsorted":false,"formattedCitation":"(Oliveira Martins et al., 2022)","plainCitation":"(Oliveira Martins et al., 2022)","noteIndex":0},"citationItems":[{"id":3384,"uris":["http://zotero.org/users/18301789/items/JX7KWU8W"],"itemData":{"id":3384,"type":"article-journal","abstract":"The European Union’s eﬀort at controlling its external borders is an endeavour that increasingly relies on digital systems: from tools for information gathering and surveillance to systems for communicating between diﬀerent agencies and across member states. This makes EU borders a key site for the politics of “digital sovereignty” – of controlling digital data, software and infrastructures. In this article, we propose a new understanding of how the concepts of digital and sovereignty interplay: sovereignty by digital means, sovereignty of the digital, and sovereignty over the digital. We do it by analysing three key manifestations within the EU’s borderwork: ﬁrstly, the expansion of EURODAC to include facial biometric data; secondly, the creation of the (future) shared Biometric Matching System (sBMS); and thirdly, the EU-funded West Africa Police Information System (WAPIS). These databases and systems exemplify three transformations of EU borderwork that invoke diﬀerent dimensions of digital sovereignty: expansion of techniques for governing migration; interoperability of EU databases facilitating the internalisation of borders through domestic policing; and extra-territorialization of borderwork beyond the geographic limits of the EU.","container-title":"European Security","DOI":"10.1080/09662839.2022.2101884","ISSN":"0966-2839, 1746-1545","issue":"3","journalAbbreviation":"European Security","language":"en","page":"475-494","source":"DOI.org (Crossref)","title":"Border security and the digitalisation of sovereignty: insights from EU borderwork","title-short":"Border security and the digitalisation of sovereignty","volume":"31","author":[{"family":"Oliveira Martins","given":"Bruno"},{"family":"Lidén","given":"Kristoffer"},{"family":"Jumbert","given":"Maria Gabrielsen"}],"issued":{"date-parts":[["2022",7,3]]}}}],"schema":"https://github.com/citation-style-language/schema/raw/master/csl-citation.json"} </w:instrText>
      </w:r>
      <w:r w:rsidR="008E7ADE">
        <w:fldChar w:fldCharType="separate"/>
      </w:r>
      <w:r w:rsidR="008E7ADE">
        <w:rPr>
          <w:noProof/>
        </w:rPr>
        <w:t>Oliveira Martins et al., (2022)</w:t>
      </w:r>
      <w:r w:rsidR="008E7ADE">
        <w:fldChar w:fldCharType="end"/>
      </w:r>
      <w:r w:rsidRPr="00A14355">
        <w:t xml:space="preserve">, sees the initiative as an exercise of hegemonic power. </w:t>
      </w:r>
      <w:r w:rsidR="007435B8">
        <w:t>They</w:t>
      </w:r>
      <w:r w:rsidRPr="00A14355">
        <w:t xml:space="preserve"> argue that the EU builds influence beyond its borders by setting the terms on which others collect and store data. Systems such as ECRIS-TCN extend data collection extraterritorially, requiring third countries to record information in formats that EU databases can read. Because the EU finances the </w:t>
      </w:r>
      <w:r w:rsidR="009457EF">
        <w:t>infrastructure third countries use, it effectively sets standards that partner states must follow to remain</w:t>
      </w:r>
      <w:r w:rsidRPr="00A14355">
        <w:t xml:space="preserve"> interoperable with the initiative. The power lies in the EU's ability to determine how third-country states perceive the individuals they register by standardi</w:t>
      </w:r>
      <w:r w:rsidR="009457EF">
        <w:t>z</w:t>
      </w:r>
      <w:r w:rsidRPr="00A14355">
        <w:t>ing the data to be compatible with EU databases.</w:t>
      </w:r>
    </w:p>
    <w:p w14:paraId="0AF303AF" w14:textId="54FC66DD" w:rsidR="00A14355" w:rsidRDefault="00A14355" w:rsidP="00A14355">
      <w:pPr>
        <w:pStyle w:val="NormalWeb"/>
      </w:pPr>
      <w:r w:rsidRPr="00A14355">
        <w:t>Finally, interoperability entrenches the EU through the infrastructure itself.</w:t>
      </w:r>
      <w:r w:rsidR="000B0789">
        <w:t xml:space="preserve"> Bellanova (</w:t>
      </w:r>
      <w:r w:rsidR="009457EF">
        <w:t>n</w:t>
      </w:r>
      <w:r w:rsidR="000B0789">
        <w:t xml:space="preserve">ot sure if published yet?) </w:t>
      </w:r>
      <w:r w:rsidRPr="00A14355">
        <w:t xml:space="preserve">argues that the EU </w:t>
      </w:r>
      <w:r w:rsidR="009457EF">
        <w:t>cre</w:t>
      </w:r>
      <w:r w:rsidRPr="00A14355">
        <w:t xml:space="preserve">ates dependence by consolidating separate </w:t>
      </w:r>
      <w:r w:rsidRPr="00A14355">
        <w:lastRenderedPageBreak/>
        <w:t>national systems into a single cross-border architecture maintained by an EU agency. The Union makes itself indispensable to the daily operation of member state borders and policing work. Its authority is no longer merely legal or political but embedded in the technical architecture that member states rely on to function.</w:t>
      </w:r>
    </w:p>
    <w:p w14:paraId="2B82F60C" w14:textId="6091CB0B" w:rsidR="007435B8" w:rsidRPr="00A14355" w:rsidRDefault="007435B8" w:rsidP="00A14355">
      <w:pPr>
        <w:pStyle w:val="NormalWeb"/>
      </w:pPr>
      <w:r>
        <w:t>I carry these four theories into the NATO case. I do not seek to test them</w:t>
      </w:r>
      <w:r w:rsidR="009457EF">
        <w:t>;</w:t>
      </w:r>
      <w:r>
        <w:t xml:space="preserve"> instead</w:t>
      </w:r>
      <w:r w:rsidR="009457EF">
        <w:t>,</w:t>
      </w:r>
      <w:r>
        <w:t xml:space="preserve"> I expect NATO to surface phenomena the DG HOME literature has not covered yet. Generating those categories, and identifying which existing ones fail to travel, is a result I seek. I am employing an abductive approach in this field research. </w:t>
      </w:r>
    </w:p>
    <w:p w14:paraId="27E0FFEE" w14:textId="287821EE" w:rsidR="00A14355" w:rsidRPr="00A14355" w:rsidRDefault="00A14355" w:rsidP="00A14355">
      <w:pPr>
        <w:pStyle w:val="NormalWeb"/>
      </w:pPr>
      <w:r w:rsidRPr="00A14355">
        <w:t>These findings map directly onto DATAGOV's concern with governance by data infrastructures. It seeks to understand how sovereignty changes under conditions of interoperability, how power is distributed between states, international organi</w:t>
      </w:r>
      <w:r w:rsidR="009457EF">
        <w:t>z</w:t>
      </w:r>
      <w:r w:rsidRPr="00A14355">
        <w:t>ations</w:t>
      </w:r>
      <w:r w:rsidR="009457EF">
        <w:t>,</w:t>
      </w:r>
      <w:r w:rsidRPr="00A14355">
        <w:t xml:space="preserve"> and citizens, and how inequalities permeate. In the DG HOME case, inequality is most present for refugees and migrants. Their exposure to surveillance increases as a direct consequence of the </w:t>
      </w:r>
      <w:r w:rsidR="009457EF">
        <w:t>initiative's</w:t>
      </w:r>
      <w:r w:rsidRPr="00A14355">
        <w:t xml:space="preserve"> t</w:t>
      </w:r>
      <w:r w:rsidR="009457EF">
        <w:t>echnical</w:t>
      </w:r>
      <w:r w:rsidRPr="00A14355">
        <w:t xml:space="preserve"> </w:t>
      </w:r>
      <w:r w:rsidR="009457EF">
        <w:t>design</w:t>
      </w:r>
      <w:r w:rsidRPr="00A14355">
        <w:t>.</w:t>
      </w:r>
    </w:p>
    <w:p w14:paraId="7DC71F81" w14:textId="77777777" w:rsidR="00A14355" w:rsidRPr="00A14355" w:rsidRDefault="00A14355" w:rsidP="00A14355">
      <w:pPr>
        <w:pStyle w:val="NormalWeb"/>
      </w:pPr>
      <w:r w:rsidRPr="00A14355">
        <w:rPr>
          <w:rStyle w:val="Emphasis"/>
        </w:rPr>
        <w:t>The Gap</w:t>
      </w:r>
    </w:p>
    <w:p w14:paraId="14845F9A" w14:textId="06E3B4E9" w:rsidR="007435B8" w:rsidRDefault="007435B8" w:rsidP="007435B8">
      <w:pPr>
        <w:pStyle w:val="NormalWeb"/>
      </w:pPr>
      <w:r>
        <w:t xml:space="preserve">Interoperability has been studied extensively within domains and almost never across them. The EU's internal security agenda is read through critical data studies, border and migration studies, while military interoperability is read through strategic studies, international relations, and standardization. The two bodies of work use the same word and analyze similar data infrastructures but draw on different fields </w:t>
      </w:r>
      <w:r w:rsidR="009457EF">
        <w:t>and</w:t>
      </w:r>
      <w:r>
        <w:t xml:space="preserve"> </w:t>
      </w:r>
      <w:r w:rsidR="009457EF">
        <w:t>have</w:t>
      </w:r>
      <w:r>
        <w:t xml:space="preserve"> </w:t>
      </w:r>
      <w:r w:rsidR="009457EF">
        <w:t>never</w:t>
      </w:r>
      <w:r>
        <w:t xml:space="preserve"> been brought into the same frame. We therefore have no account of what "interoperability" actually names when it travels between a supranational agency running a centralized biometric architecture and an alliance coordinating voluntary standards across national systems. That is where the gap lies</w:t>
      </w:r>
      <w:r w:rsidR="009457EF">
        <w:t>:</w:t>
      </w:r>
      <w:r>
        <w:t xml:space="preserve"> comparing how</w:t>
      </w:r>
      <w:r w:rsidR="00C37FA2">
        <w:t xml:space="preserve"> </w:t>
      </w:r>
      <w:r>
        <w:t xml:space="preserve">interoperability </w:t>
      </w:r>
      <w:r w:rsidR="009457EF">
        <w:t>operate</w:t>
      </w:r>
      <w:r>
        <w:t>s across two security fields</w:t>
      </w:r>
      <w:r w:rsidR="00C37FA2">
        <w:t xml:space="preserve"> and </w:t>
      </w:r>
      <w:r w:rsidR="009457EF">
        <w:t>its</w:t>
      </w:r>
      <w:r w:rsidR="00C37FA2">
        <w:t xml:space="preserve"> impact on the broader socio-political world.</w:t>
      </w:r>
    </w:p>
    <w:p w14:paraId="260E3CB4" w14:textId="0432A14F" w:rsidR="00A14355" w:rsidRPr="00A14355" w:rsidRDefault="00A14355" w:rsidP="00A14355">
      <w:pPr>
        <w:pStyle w:val="NormalWeb"/>
      </w:pPr>
      <w:r w:rsidRPr="00A14355">
        <w:rPr>
          <w:rStyle w:val="Emphasis"/>
        </w:rPr>
        <w:t>My contribution: interoperability across policing and defen</w:t>
      </w:r>
      <w:r w:rsidR="00C37FA2">
        <w:rPr>
          <w:rStyle w:val="Emphasis"/>
        </w:rPr>
        <w:t>s</w:t>
      </w:r>
      <w:r w:rsidRPr="00A14355">
        <w:rPr>
          <w:rStyle w:val="Emphasis"/>
        </w:rPr>
        <w:t>e</w:t>
      </w:r>
    </w:p>
    <w:p w14:paraId="0A71E49B" w14:textId="1DFC18A2" w:rsidR="00C37FA2" w:rsidRDefault="00C37FA2" w:rsidP="00A14355">
      <w:pPr>
        <w:pStyle w:val="NormalWeb"/>
      </w:pPr>
      <w:r>
        <w:t xml:space="preserve">To address this gap, I will conduct original empirical research on both cases. </w:t>
      </w:r>
      <w:r w:rsidR="009457EF">
        <w:t>I will examine t</w:t>
      </w:r>
      <w:r>
        <w:t xml:space="preserve">he EU's internal security interoperability agenda and NATO's approach to interoperability in the defense domain. Neither case checks the other; </w:t>
      </w:r>
      <w:r w:rsidR="009457EF">
        <w:t>the goal is to compare them, explain their differences, and understand how socio-political contexts shape them.</w:t>
      </w:r>
      <w:r w:rsidRPr="00C37FA2">
        <w:t xml:space="preserve"> </w:t>
      </w:r>
      <w:r>
        <w:t xml:space="preserve">Centralization and federation are different ways of organizing an infrastructure, and there is no reason to assume they organize power in the same way. Placing a centralized architecture </w:t>
      </w:r>
      <w:r w:rsidR="00C104A7">
        <w:t>run</w:t>
      </w:r>
      <w:r>
        <w:t xml:space="preserve"> by a single mandated agency alongside a federated one held together by voluntary standards lets me ask what form infrastructural power takes in each, rather than treating infrastructural power as a single, undifferentiated thing. The two domains are comparable because they face the same practical problem, identifying people and moving intelligence across sovereign holders, and interesting because they have solved it through entirely different legal, institutional, and technical arrangements. Four dimensions structure </w:t>
      </w:r>
      <w:r w:rsidR="00C104A7">
        <w:t>their differences and similarities that make comparison between the two cases interesting</w:t>
      </w:r>
      <w:r>
        <w:t>.</w:t>
      </w:r>
    </w:p>
    <w:p w14:paraId="16B873B9" w14:textId="608DC223" w:rsidR="00C37FA2" w:rsidRDefault="00C37FA2" w:rsidP="00A14355">
      <w:pPr>
        <w:pStyle w:val="NormalWeb"/>
      </w:pPr>
      <w:r>
        <w:t>The first is a shared problem of information gathering. In both domains, correct identification is crucial to justify extraordinary means. In the military case, i</w:t>
      </w:r>
      <w:r w:rsidR="00A14355" w:rsidRPr="00A14355">
        <w:t xml:space="preserve">dentifying an individual correctly is the difference between preventing a terrorist from entering Schengen and having a terrorist attack on EU territories. In policing, the situation is the same; identifying an </w:t>
      </w:r>
      <w:r w:rsidR="00A14355" w:rsidRPr="00A14355">
        <w:lastRenderedPageBreak/>
        <w:t>individual successfully can be critical to stopping a terrorist attack. In an era of data superiority, policing and the military operate under a logic of maximum data, and both pursue interoperability to achieve it.</w:t>
      </w:r>
    </w:p>
    <w:p w14:paraId="19B65D29" w14:textId="06ECEDF4" w:rsidR="00C37FA2" w:rsidRDefault="00C37FA2" w:rsidP="00A14355">
      <w:pPr>
        <w:pStyle w:val="NormalWeb"/>
      </w:pPr>
      <w:r>
        <w:t>The second dimension is how data itself is valued. In defense, it is explicitly a strategic resource</w:t>
      </w:r>
      <w:r w:rsidR="00A14355" w:rsidRPr="00A14355">
        <w:t>. Data cent</w:t>
      </w:r>
      <w:r>
        <w:t>er</w:t>
      </w:r>
      <w:r w:rsidR="00A14355" w:rsidRPr="00A14355">
        <w:t>s are considered critical infrastructure to protect against external attacks, both from a social</w:t>
      </w:r>
      <w:r w:rsidR="009457EF">
        <w:t>-stability</w:t>
      </w:r>
      <w:r w:rsidR="00A14355" w:rsidRPr="00A14355">
        <w:t xml:space="preserve"> </w:t>
      </w:r>
      <w:r w:rsidR="009457EF">
        <w:t>perspective</w:t>
      </w:r>
      <w:r w:rsidR="00A14355" w:rsidRPr="00A14355">
        <w:t xml:space="preserve"> and from an intelligence-gathering perspective. The police treat it as a given, part of </w:t>
      </w:r>
      <w:r w:rsidR="009457EF">
        <w:t>a</w:t>
      </w:r>
      <w:r w:rsidR="00A14355" w:rsidRPr="00A14355">
        <w:t xml:space="preserve"> lawful society, and instead </w:t>
      </w:r>
      <w:r w:rsidR="009457EF">
        <w:t>focu</w:t>
      </w:r>
      <w:r w:rsidR="00A14355" w:rsidRPr="00A14355">
        <w:t xml:space="preserve">s </w:t>
      </w:r>
      <w:r w:rsidR="009457EF">
        <w:t>on</w:t>
      </w:r>
      <w:r w:rsidR="00A14355" w:rsidRPr="00A14355">
        <w:t xml:space="preserve"> legally compliant data gathering and processing.</w:t>
      </w:r>
    </w:p>
    <w:p w14:paraId="0AC75EB5" w14:textId="307A24B4" w:rsidR="00A14355" w:rsidRPr="00A14355" w:rsidRDefault="00C37FA2" w:rsidP="00A14355">
      <w:pPr>
        <w:pStyle w:val="NormalWeb"/>
      </w:pPr>
      <w:r>
        <w:t xml:space="preserve">The third is the legal regime, and more precisely the burden of justification it places on practitioners. </w:t>
      </w:r>
      <w:r w:rsidR="009457EF">
        <w:t>National</w:t>
      </w:r>
      <w:r w:rsidR="00A14355" w:rsidRPr="00A14355">
        <w:t xml:space="preserve"> </w:t>
      </w:r>
      <w:r w:rsidR="009457EF">
        <w:t>and</w:t>
      </w:r>
      <w:r w:rsidR="00A14355" w:rsidRPr="00A14355">
        <w:t xml:space="preserve"> </w:t>
      </w:r>
      <w:r w:rsidR="009457EF">
        <w:t>EU</w:t>
      </w:r>
      <w:r w:rsidR="00A14355" w:rsidRPr="00A14355">
        <w:t xml:space="preserve"> </w:t>
      </w:r>
      <w:r w:rsidR="009457EF">
        <w:t>law</w:t>
      </w:r>
      <w:r w:rsidR="00A14355" w:rsidRPr="00A14355">
        <w:t xml:space="preserve"> </w:t>
      </w:r>
      <w:r w:rsidR="009457EF">
        <w:t>governs</w:t>
      </w:r>
      <w:r w:rsidR="00A14355" w:rsidRPr="00A14355">
        <w:t xml:space="preserve"> </w:t>
      </w:r>
      <w:r w:rsidR="009457EF">
        <w:t>police</w:t>
      </w:r>
      <w:r w:rsidR="00A14355" w:rsidRPr="00A14355">
        <w:t xml:space="preserve"> </w:t>
      </w:r>
      <w:r w:rsidR="009457EF">
        <w:t>data</w:t>
      </w:r>
      <w:r w:rsidR="00A14355" w:rsidRPr="00A14355">
        <w:t xml:space="preserve"> </w:t>
      </w:r>
      <w:r w:rsidR="009457EF">
        <w:t>processing</w:t>
      </w:r>
      <w:r w:rsidR="00A14355" w:rsidRPr="00A14355">
        <w:t>, principally the Law Enforcement Directive</w:t>
      </w:r>
      <w:r w:rsidR="006E4F06">
        <w:t xml:space="preserve">, </w:t>
      </w:r>
      <w:r w:rsidR="00A14355" w:rsidRPr="00A14355">
        <w:t>which sets clear standards for necessity, proportionality</w:t>
      </w:r>
      <w:r w:rsidR="009457EF">
        <w:t>,</w:t>
      </w:r>
      <w:r w:rsidR="00A14355" w:rsidRPr="00A14355">
        <w:t xml:space="preserve"> and oversight. Military data processing, by contrast, falls largely outside this framework an</w:t>
      </w:r>
      <w:r w:rsidR="009457EF">
        <w:t>d</w:t>
      </w:r>
      <w:r w:rsidR="00A14355" w:rsidRPr="00A14355">
        <w:t xml:space="preserve"> instead </w:t>
      </w:r>
      <w:r w:rsidR="009457EF">
        <w:t xml:space="preserve">answers </w:t>
      </w:r>
      <w:r w:rsidR="00A14355" w:rsidRPr="00A14355">
        <w:t xml:space="preserve">to international humanitarian law and national security exemptions. Both have exceptions compared to civilian law, but to different degrees. The police </w:t>
      </w:r>
      <w:r w:rsidR="00C104A7">
        <w:t>must</w:t>
      </w:r>
      <w:r w:rsidR="00A14355" w:rsidRPr="00A14355">
        <w:t xml:space="preserve"> justify their use of exceptions to </w:t>
      </w:r>
      <w:r w:rsidR="00C104A7">
        <w:t xml:space="preserve">the </w:t>
      </w:r>
      <w:r w:rsidR="00A14355" w:rsidRPr="00A14355">
        <w:t xml:space="preserve">legal baselines they are expected to uphold. The military operates closer to </w:t>
      </w:r>
      <w:r w:rsidR="009457EF">
        <w:t>emergency</w:t>
      </w:r>
      <w:r w:rsidR="00A14355" w:rsidRPr="00A14355">
        <w:t xml:space="preserve"> conditions and thus has fewer justification requirements.</w:t>
      </w:r>
    </w:p>
    <w:p w14:paraId="181BFDD0" w14:textId="3805A664" w:rsidR="00960F03" w:rsidRDefault="00960F03" w:rsidP="00A14355">
      <w:pPr>
        <w:pStyle w:val="NormalWeb"/>
      </w:pPr>
      <w:r>
        <w:t>The fourth is architecture, which follows from how differently the two organi</w:t>
      </w:r>
      <w:r w:rsidR="009457EF">
        <w:t>z</w:t>
      </w:r>
      <w:r>
        <w:t xml:space="preserve">ations are constituted. </w:t>
      </w:r>
      <w:r w:rsidR="00A14355" w:rsidRPr="00A14355">
        <w:t>The EU is a more supranational organi</w:t>
      </w:r>
      <w:r w:rsidR="009457EF">
        <w:t>z</w:t>
      </w:r>
      <w:r w:rsidR="00A14355" w:rsidRPr="00A14355">
        <w:t>ation than NATO</w:t>
      </w:r>
      <w:r>
        <w:t>. I</w:t>
      </w:r>
      <w:r w:rsidR="00A14355" w:rsidRPr="00A14355">
        <w:t>ts initiative is centrali</w:t>
      </w:r>
      <w:r w:rsidR="009457EF">
        <w:t>z</w:t>
      </w:r>
      <w:r w:rsidR="00A14355" w:rsidRPr="00A14355">
        <w:t>ed, with a single institution, eu-LISA</w:t>
      </w:r>
      <w:r w:rsidR="00C104A7">
        <w:t>, operating the interoperability system</w:t>
      </w:r>
      <w:r w:rsidR="00A14355" w:rsidRPr="00A14355">
        <w:t xml:space="preserve">, which the Commission </w:t>
      </w:r>
      <w:r w:rsidR="009457EF">
        <w:t xml:space="preserve">legally mandates </w:t>
      </w:r>
      <w:r w:rsidR="00A14355" w:rsidRPr="00A14355">
        <w:t xml:space="preserve">and </w:t>
      </w:r>
      <w:r w:rsidR="009457EF">
        <w:t xml:space="preserve">which </w:t>
      </w:r>
      <w:r w:rsidR="00A14355" w:rsidRPr="00A14355">
        <w:t xml:space="preserve">uses biometrics at its core. It is clearly articulated within the EU's purview. NATO’s systems are explicitly </w:t>
      </w:r>
      <w:r w:rsidR="009457EF">
        <w:t>decentralized:</w:t>
      </w:r>
      <w:r w:rsidR="00A14355" w:rsidRPr="00A14355">
        <w:t xml:space="preserve"> a set of standards, practices</w:t>
      </w:r>
      <w:r w:rsidR="009457EF">
        <w:t>,</w:t>
      </w:r>
      <w:r w:rsidR="00A14355" w:rsidRPr="00A14355">
        <w:t xml:space="preserve"> and common data models </w:t>
      </w:r>
      <w:r w:rsidR="00975168">
        <w:t>that</w:t>
      </w:r>
      <w:r w:rsidR="00A14355" w:rsidRPr="00A14355">
        <w:t xml:space="preserve"> member states</w:t>
      </w:r>
      <w:r w:rsidR="00975168">
        <w:t xml:space="preserve"> adopt voluntarily</w:t>
      </w:r>
      <w:r w:rsidR="00A14355" w:rsidRPr="00A14355">
        <w:t>. If centrali</w:t>
      </w:r>
      <w:r>
        <w:t>z</w:t>
      </w:r>
      <w:r w:rsidR="00A14355" w:rsidRPr="00A14355">
        <w:t xml:space="preserve">ation entrenches power within an operating agency, while federation exerts power through standard-setting and compliance, this comparison allows me to identify which mechanism of infrastructural power corresponds to each architecture, rather than treating infrastructural power as a single, undifferentiated entity. </w:t>
      </w:r>
      <w:r>
        <w:t xml:space="preserve">Whether these two architectures produce comparable effects is precisely what </w:t>
      </w:r>
      <w:r w:rsidR="009457EF">
        <w:t>neither I nor the field knows</w:t>
      </w:r>
      <w:r>
        <w:t xml:space="preserve"> and what I seek to uncover.</w:t>
      </w:r>
    </w:p>
    <w:p w14:paraId="470DEEE3" w14:textId="1A7D2445" w:rsidR="00960F03" w:rsidRDefault="00960F03" w:rsidP="00A14355">
      <w:pPr>
        <w:pStyle w:val="NormalWeb"/>
      </w:pPr>
      <w:r>
        <w:t xml:space="preserve">As such, my PhD will </w:t>
      </w:r>
      <w:r w:rsidR="009457EF">
        <w:t>follow</w:t>
      </w:r>
      <w:r>
        <w:t xml:space="preserve"> a simple comparative logic. Case </w:t>
      </w:r>
      <w:r w:rsidR="009457EF">
        <w:t>A: the EU's DG HOME interoperability agenda; Case B: NATO interoperability;</w:t>
      </w:r>
      <w:r>
        <w:t xml:space="preserve"> and a synthesis reading the two against one another along the four dimensions above.</w:t>
      </w:r>
    </w:p>
    <w:p w14:paraId="287B18E1" w14:textId="77777777" w:rsidR="00A14355" w:rsidRPr="00A14355" w:rsidRDefault="00A14355" w:rsidP="00A14355">
      <w:pPr>
        <w:pStyle w:val="NormalWeb"/>
      </w:pPr>
      <w:r w:rsidRPr="00A14355">
        <w:rPr>
          <w:rStyle w:val="Emphasis"/>
        </w:rPr>
        <w:t>Research Question:</w:t>
      </w:r>
    </w:p>
    <w:p w14:paraId="34ADC89B" w14:textId="7062768C" w:rsidR="009677B4" w:rsidRDefault="009677B4" w:rsidP="00A14355">
      <w:pPr>
        <w:pStyle w:val="NormalWeb"/>
      </w:pPr>
      <w:r>
        <w:t>How does interoperability differ as a technical and political project between the EU's internal security domain and NATO's defen</w:t>
      </w:r>
      <w:r w:rsidR="009457EF">
        <w:t>s</w:t>
      </w:r>
      <w:r>
        <w:t>e domain, and what do those differences reveal about how data infrastructures reorgani</w:t>
      </w:r>
      <w:r w:rsidR="009457EF">
        <w:t>z</w:t>
      </w:r>
      <w:r>
        <w:t>e sovereignty and power in Europe?</w:t>
      </w:r>
    </w:p>
    <w:p w14:paraId="717C57C7" w14:textId="22FF3C01" w:rsidR="00A14355" w:rsidRPr="00A14355" w:rsidRDefault="00A14355" w:rsidP="00A14355">
      <w:pPr>
        <w:pStyle w:val="NormalWeb"/>
      </w:pPr>
      <w:r w:rsidRPr="00A14355">
        <w:t>Sub-questions:</w:t>
      </w:r>
    </w:p>
    <w:p w14:paraId="4BC06642" w14:textId="4BCD17BB" w:rsidR="00B953C0" w:rsidRPr="00B953C0" w:rsidRDefault="00B953C0" w:rsidP="00B953C0">
      <w:pPr>
        <w:numPr>
          <w:ilvl w:val="0"/>
          <w:numId w:val="10"/>
        </w:numPr>
        <w:spacing w:before="100" w:beforeAutospacing="1" w:after="100" w:afterAutospacing="1"/>
      </w:pPr>
      <w:r w:rsidRPr="00B953C0">
        <w:t>How do the technologies, standards</w:t>
      </w:r>
      <w:r w:rsidR="00975168">
        <w:t>,</w:t>
      </w:r>
      <w:r w:rsidRPr="00B953C0">
        <w:t xml:space="preserve"> and sequencing of the build differ between the two domains?</w:t>
      </w:r>
    </w:p>
    <w:p w14:paraId="2F1FC6F2" w14:textId="77777777" w:rsidR="00B953C0" w:rsidRPr="00B953C0" w:rsidRDefault="00B953C0" w:rsidP="00B953C0">
      <w:pPr>
        <w:numPr>
          <w:ilvl w:val="0"/>
          <w:numId w:val="10"/>
        </w:numPr>
        <w:spacing w:before="100" w:beforeAutospacing="1" w:after="100" w:afterAutospacing="1"/>
      </w:pPr>
      <w:r w:rsidRPr="00B953C0">
        <w:t>How does the delegation of authority between Member States and institutions (eu-LISA, EDA, NATO commands) differ across the two domains?</w:t>
      </w:r>
    </w:p>
    <w:p w14:paraId="71200B00" w14:textId="77777777" w:rsidR="00B953C0" w:rsidRPr="00B953C0" w:rsidRDefault="00B953C0" w:rsidP="00B953C0">
      <w:pPr>
        <w:numPr>
          <w:ilvl w:val="0"/>
          <w:numId w:val="10"/>
        </w:numPr>
        <w:spacing w:before="100" w:beforeAutospacing="1" w:after="100" w:afterAutospacing="1"/>
      </w:pPr>
      <w:r w:rsidRPr="00B953C0">
        <w:t>How do differing legal standards translate into different practices of data gathering, processing and quality?</w:t>
      </w:r>
    </w:p>
    <w:p w14:paraId="7552FE13" w14:textId="77777777" w:rsidR="00B953C0" w:rsidRPr="00B953C0" w:rsidRDefault="00B953C0" w:rsidP="00B953C0">
      <w:pPr>
        <w:numPr>
          <w:ilvl w:val="0"/>
          <w:numId w:val="10"/>
        </w:numPr>
        <w:spacing w:before="100" w:beforeAutospacing="1" w:after="100" w:afterAutospacing="1"/>
      </w:pPr>
      <w:r w:rsidRPr="00B953C0">
        <w:lastRenderedPageBreak/>
        <w:t>How do the experts who design and operate these infrastructures account for individual rights, inequality and the effects of their work, and how do those accounts differ between the two domains?</w:t>
      </w:r>
    </w:p>
    <w:p w14:paraId="0BEA2182" w14:textId="77777777" w:rsidR="00B953C0" w:rsidRPr="00B953C0" w:rsidRDefault="00B953C0" w:rsidP="00B953C0">
      <w:pPr>
        <w:numPr>
          <w:ilvl w:val="0"/>
          <w:numId w:val="10"/>
        </w:numPr>
        <w:spacing w:before="100" w:beforeAutospacing="1" w:after="100" w:afterAutospacing="1"/>
      </w:pPr>
      <w:r w:rsidRPr="00B953C0">
        <w:t>How do private vendors, procurement structures and innovation narratives differ between the two domains, and how do they shape what interoperability comes to mean in each?</w:t>
      </w:r>
    </w:p>
    <w:p w14:paraId="711F24BC" w14:textId="3EC0A258" w:rsidR="00B953C0" w:rsidRPr="00A14355" w:rsidRDefault="00A14355" w:rsidP="00A14355">
      <w:pPr>
        <w:pStyle w:val="NormalWeb"/>
      </w:pPr>
      <w:r w:rsidRPr="00A14355">
        <w:t xml:space="preserve">A note on framing. There is substantial literature on whether policing and the military are converging. My interest is not in arguing that the boundary between them is collapsing or whether it should. I </w:t>
      </w:r>
      <w:r w:rsidR="00975168">
        <w:t>want</w:t>
      </w:r>
      <w:r w:rsidRPr="00A14355">
        <w:t xml:space="preserve"> </w:t>
      </w:r>
      <w:r w:rsidR="00975168">
        <w:t>to</w:t>
      </w:r>
      <w:r w:rsidRPr="00A14355">
        <w:t xml:space="preserve"> understand how their different contexts, however similar or different they are within the digital space, shape power distributions.</w:t>
      </w:r>
      <w:r w:rsidR="00B953C0">
        <w:t xml:space="preserve"> It is a comparison for description and conceptual specification with little causal inference. The four dimensions are provisional ideas of where I expect the differences to lie. However, </w:t>
      </w:r>
      <w:r w:rsidR="009457EF">
        <w:t>using</w:t>
      </w:r>
      <w:r w:rsidR="00B953C0">
        <w:t xml:space="preserve"> an abductive mindset, I expect to revise them as fieldwork shows.</w:t>
      </w:r>
    </w:p>
    <w:p w14:paraId="73E78CC3" w14:textId="77777777" w:rsidR="00A14355" w:rsidRPr="00A14355" w:rsidRDefault="00A14355" w:rsidP="00A14355">
      <w:pPr>
        <w:pStyle w:val="NormalWeb"/>
      </w:pPr>
      <w:r w:rsidRPr="00A14355">
        <w:rPr>
          <w:rStyle w:val="Emphasis"/>
        </w:rPr>
        <w:t>Research Fields</w:t>
      </w:r>
    </w:p>
    <w:p w14:paraId="15100935" w14:textId="5F8E75E8" w:rsidR="00A14355" w:rsidRPr="00A14355" w:rsidRDefault="00A14355" w:rsidP="00A14355">
      <w:pPr>
        <w:pStyle w:val="NormalWeb"/>
      </w:pPr>
      <w:r w:rsidRPr="00A14355">
        <w:t xml:space="preserve">The core </w:t>
      </w:r>
      <w:r w:rsidR="009457EF">
        <w:t>research</w:t>
      </w:r>
      <w:r w:rsidRPr="00A14355">
        <w:t xml:space="preserve"> </w:t>
      </w:r>
      <w:r w:rsidR="009457EF">
        <w:t>disciplines</w:t>
      </w:r>
      <w:r w:rsidRPr="00A14355">
        <w:t xml:space="preserve"> are critical data studies, security studies</w:t>
      </w:r>
      <w:r w:rsidR="009457EF">
        <w:t>,</w:t>
      </w:r>
      <w:r w:rsidRPr="00A14355">
        <w:t xml:space="preserve"> and European studies. Depending on where the articles and qualitative findings lead, the subdisciplines are Infrastructure Studies, Science and Technology Studies, Public Policy, Migration Studies, Innovation Studies, European Law, Humanitarian Law, and Standardi</w:t>
      </w:r>
      <w:r w:rsidR="009457EF">
        <w:t>z</w:t>
      </w:r>
      <w:r w:rsidRPr="00A14355">
        <w:t>ation.</w:t>
      </w:r>
    </w:p>
    <w:p w14:paraId="65D44D94" w14:textId="31B18BCD" w:rsidR="00A14355" w:rsidRPr="00A14355" w:rsidRDefault="00A14355" w:rsidP="00A14355">
      <w:pPr>
        <w:pStyle w:val="NormalWeb"/>
      </w:pPr>
      <w:r w:rsidRPr="00A14355">
        <w:rPr>
          <w:rStyle w:val="Strong"/>
        </w:rPr>
        <w:t>Link to DATAGOV:</w:t>
      </w:r>
      <w:r w:rsidRPr="00A14355">
        <w:rPr>
          <w:b/>
          <w:bCs/>
        </w:rPr>
        <w:br/>
      </w:r>
      <w:r w:rsidRPr="00A14355">
        <w:t xml:space="preserve">DATAGOV investigates how </w:t>
      </w:r>
      <w:r w:rsidR="009457EF">
        <w:t>introducing</w:t>
      </w:r>
      <w:r w:rsidRPr="00A14355">
        <w:t xml:space="preserve"> data-centric solutions </w:t>
      </w:r>
      <w:r w:rsidR="009457EF">
        <w:t>that support</w:t>
      </w:r>
      <w:r w:rsidRPr="00A14355">
        <w:t xml:space="preserve"> public safety affects the relationship between the state and its citizens. We specifically investigate regulatory data infrastructures, systems that generate data used to monitor and automate </w:t>
      </w:r>
      <w:r w:rsidR="009457EF">
        <w:t>governance</w:t>
      </w:r>
      <w:r w:rsidRPr="00A14355">
        <w:t xml:space="preserve"> </w:t>
      </w:r>
      <w:r w:rsidR="009457EF">
        <w:t>decision-making</w:t>
      </w:r>
      <w:r w:rsidRPr="00A14355">
        <w:t>.</w:t>
      </w:r>
      <w:r w:rsidRPr="00A14355">
        <w:rPr>
          <w:rStyle w:val="FootnoteReference"/>
        </w:rPr>
        <w:footnoteReference w:id="1"/>
      </w:r>
      <w:r w:rsidRPr="00A14355">
        <w:t xml:space="preserve"> A data infrastructure has three components: the data (computable objects), data storage, and the "book of rules", i.e., the algorithms in place. These infrastructures take on the functions of state officials, turning regulation into a technological</w:t>
      </w:r>
      <w:r w:rsidR="009457EF">
        <w:t>,</w:t>
      </w:r>
      <w:r w:rsidRPr="00A14355">
        <w:t xml:space="preserve"> a</w:t>
      </w:r>
      <w:r w:rsidR="009457EF">
        <w:t>utomated</w:t>
      </w:r>
      <w:r w:rsidRPr="00A14355">
        <w:t xml:space="preserve"> process. </w:t>
      </w:r>
      <w:r w:rsidR="009457EF">
        <w:t>They imbue</w:t>
      </w:r>
      <w:r w:rsidRPr="00A14355">
        <w:t xml:space="preserve"> policy with data that affects people’s behavior. This PhD project </w:t>
      </w:r>
      <w:r w:rsidR="009457EF">
        <w:t>examines</w:t>
      </w:r>
      <w:r w:rsidRPr="00A14355">
        <w:t xml:space="preserve"> regulatory data infrastructures, specifically </w:t>
      </w:r>
      <w:r w:rsidR="009457EF">
        <w:t>those</w:t>
      </w:r>
      <w:r w:rsidRPr="00A14355">
        <w:t xml:space="preserve"> </w:t>
      </w:r>
      <w:r w:rsidR="009457EF">
        <w:t>built</w:t>
      </w:r>
      <w:r w:rsidRPr="00A14355">
        <w:t xml:space="preserve"> through interoperability. In the case of DG HOME, these infrastructures regulate how people cross borders, removing the right to opt out </w:t>
      </w:r>
      <w:r w:rsidR="009457EF">
        <w:t>when</w:t>
      </w:r>
      <w:r w:rsidRPr="00A14355">
        <w:t xml:space="preserve"> </w:t>
      </w:r>
      <w:r w:rsidR="009457EF">
        <w:t>entering</w:t>
      </w:r>
      <w:r w:rsidRPr="00A14355">
        <w:t xml:space="preserve"> or leav</w:t>
      </w:r>
      <w:r w:rsidR="009457EF">
        <w:t>ing</w:t>
      </w:r>
      <w:r w:rsidRPr="00A14355">
        <w:t xml:space="preserve"> </w:t>
      </w:r>
      <w:r w:rsidR="0005512A">
        <w:t xml:space="preserve">the </w:t>
      </w:r>
      <w:r w:rsidRPr="00A14355">
        <w:t>Schengen</w:t>
      </w:r>
      <w:r w:rsidR="0005512A">
        <w:t xml:space="preserve"> area</w:t>
      </w:r>
      <w:r w:rsidRPr="00A14355">
        <w:t>. NATO operates through intelligence infrastructures that gather and process large amounts of data, which in turn affects their responses to terrorist threats, migrants, and border protection.</w:t>
      </w:r>
    </w:p>
    <w:p w14:paraId="4FCCB0D2" w14:textId="667149B3" w:rsidR="00A14355" w:rsidRPr="00A14355" w:rsidRDefault="00A14355" w:rsidP="00A14355">
      <w:pPr>
        <w:pStyle w:val="NormalWeb"/>
      </w:pPr>
      <w:r w:rsidRPr="00A14355">
        <w:t xml:space="preserve">DATAGOV focuses on liberal democracies within the EU and BRICS </w:t>
      </w:r>
      <w:r w:rsidR="009457EF">
        <w:t>through</w:t>
      </w:r>
      <w:r w:rsidRPr="00A14355">
        <w:t xml:space="preserve"> three technologies: biometrics, digital identity (ID), and health technologies. I will be addressing the case of the EU as outlined in the project “DATAGOV zooms in on the EU (with a primary focus on Brussels institutions)" (p. 7). </w:t>
      </w:r>
      <w:r w:rsidR="0005512A">
        <w:t>I</w:t>
      </w:r>
      <w:r w:rsidRPr="00A14355">
        <w:t xml:space="preserve"> will </w:t>
      </w:r>
      <w:r w:rsidR="0005512A">
        <w:t>approach</w:t>
      </w:r>
      <w:r w:rsidRPr="00A14355">
        <w:t xml:space="preserve"> </w:t>
      </w:r>
      <w:r w:rsidR="0005512A">
        <w:t>the project</w:t>
      </w:r>
      <w:r w:rsidRPr="00A14355">
        <w:t xml:space="preserve"> in two ways. </w:t>
      </w:r>
      <w:r w:rsidR="009457EF">
        <w:t>First,</w:t>
      </w:r>
      <w:r w:rsidRPr="00A14355">
        <w:t xml:space="preserve"> </w:t>
      </w:r>
      <w:r w:rsidR="009457EF">
        <w:t>I</w:t>
      </w:r>
      <w:r w:rsidRPr="00A14355">
        <w:t xml:space="preserve"> </w:t>
      </w:r>
      <w:r w:rsidR="009457EF">
        <w:t>will</w:t>
      </w:r>
      <w:r w:rsidRPr="00A14355">
        <w:t xml:space="preserve"> focus on EU institutions like Europol, eu-LISA, and FRONTEX to understand how the DG HOME interoperability initiative </w:t>
      </w:r>
      <w:r w:rsidR="009457EF">
        <w:t>affe</w:t>
      </w:r>
      <w:r w:rsidRPr="00A14355">
        <w:t xml:space="preserve">cts the three domains of </w:t>
      </w:r>
      <w:r w:rsidR="009457EF">
        <w:t>DATAGOV</w:t>
      </w:r>
      <w:r w:rsidRPr="00A14355">
        <w:t xml:space="preserve"> </w:t>
      </w:r>
      <w:r w:rsidR="009457EF">
        <w:t>transformation</w:t>
      </w:r>
      <w:r w:rsidRPr="00A14355">
        <w:t xml:space="preserve"> (</w:t>
      </w:r>
      <w:r w:rsidR="00A824FF">
        <w:t>see below</w:t>
      </w:r>
      <w:r w:rsidRPr="00A14355">
        <w:t>). I will</w:t>
      </w:r>
      <w:r w:rsidR="00FE42BF">
        <w:t xml:space="preserve"> then</w:t>
      </w:r>
      <w:r w:rsidRPr="00A14355">
        <w:t xml:space="preserve"> investigate Brussels institutions such as NATO and the European Defen</w:t>
      </w:r>
      <w:r w:rsidR="009457EF">
        <w:t>s</w:t>
      </w:r>
      <w:r w:rsidRPr="00A14355">
        <w:t xml:space="preserve">e Agency to understand how member states delegate authority when interoperability relies on shared standards </w:t>
      </w:r>
      <w:r w:rsidR="009457EF">
        <w:t>rather</w:t>
      </w:r>
      <w:r w:rsidRPr="00A14355">
        <w:t xml:space="preserve"> </w:t>
      </w:r>
      <w:r w:rsidR="009457EF">
        <w:t>than</w:t>
      </w:r>
      <w:r w:rsidRPr="00A14355">
        <w:t xml:space="preserve"> a common EU-operated system</w:t>
      </w:r>
      <w:r w:rsidR="009457EF">
        <w:t>,</w:t>
      </w:r>
      <w:r w:rsidRPr="00A14355">
        <w:t xml:space="preserve"> in a non-police security context.</w:t>
      </w:r>
    </w:p>
    <w:p w14:paraId="7AA8529C" w14:textId="1C54D81C" w:rsidR="00A14355" w:rsidRPr="00A14355" w:rsidRDefault="00A14355" w:rsidP="00A14355">
      <w:pPr>
        <w:pStyle w:val="NormalWeb"/>
      </w:pPr>
      <w:r w:rsidRPr="00A14355">
        <w:lastRenderedPageBreak/>
        <w:t xml:space="preserve">A significant part of DATAGOV is the cross-comparison from the EU to the BRICS; my current PhD makeup is ideal for this, as the </w:t>
      </w:r>
      <w:r w:rsidR="009457EF">
        <w:t>project</w:t>
      </w:r>
      <w:r w:rsidRPr="00A14355">
        <w:t xml:space="preserve"> </w:t>
      </w:r>
      <w:r w:rsidR="009457EF">
        <w:t>description</w:t>
      </w:r>
      <w:r w:rsidRPr="00A14355">
        <w:t xml:space="preserve"> </w:t>
      </w:r>
      <w:r w:rsidR="009457EF">
        <w:t>frames</w:t>
      </w:r>
      <w:r w:rsidRPr="00A14355">
        <w:t xml:space="preserve"> the </w:t>
      </w:r>
      <w:r w:rsidR="009457EF">
        <w:t>EU</w:t>
      </w:r>
      <w:r w:rsidRPr="00A14355">
        <w:t xml:space="preserve"> </w:t>
      </w:r>
      <w:r w:rsidR="009457EF">
        <w:t>as</w:t>
      </w:r>
      <w:r w:rsidRPr="00A14355">
        <w:t xml:space="preserve"> "as having the forefront of normative development regulating pervasive datafication," which I plan to investigate </w:t>
      </w:r>
      <w:r w:rsidR="009457EF">
        <w:t>in depth</w:t>
      </w:r>
      <w:r w:rsidRPr="00A14355">
        <w:t xml:space="preserve"> through police and military exceptionalism. A significant chunk of my interest lies in how "regular" data protection law does not apply to security institutions and what effect that has on society. </w:t>
      </w:r>
      <w:r w:rsidR="0005512A">
        <w:t>Jona’s work on data infrastructure complements this by tracing how it follows standard EU law and providing</w:t>
      </w:r>
      <w:r w:rsidRPr="00A14355">
        <w:t xml:space="preserve"> a strong basis for comparison with the BRICS, </w:t>
      </w:r>
      <w:r w:rsidR="009457EF">
        <w:t>which</w:t>
      </w:r>
      <w:r w:rsidRPr="00A14355">
        <w:t xml:space="preserve"> have a different regulatory spectrum that reflects the </w:t>
      </w:r>
      <w:r w:rsidR="009457EF">
        <w:t xml:space="preserve">EU’s </w:t>
      </w:r>
      <w:r w:rsidRPr="00A14355">
        <w:t xml:space="preserve">police and military exceptionalism. Although </w:t>
      </w:r>
      <w:r w:rsidR="009457EF">
        <w:t>these cases remain different, the comparison does not equate civilian and security systems; instead, it traces where data protection norms are suspended and unevenly enforced, and the consequences for those subjected to them, analyzing this</w:t>
      </w:r>
      <w:r w:rsidRPr="00A14355">
        <w:t xml:space="preserve"> from an inequality and citizenship perspective.   </w:t>
      </w:r>
    </w:p>
    <w:p w14:paraId="26762136" w14:textId="20F392F4" w:rsidR="00A14355" w:rsidRPr="00A14355" w:rsidRDefault="00A14355" w:rsidP="00A14355">
      <w:pPr>
        <w:pStyle w:val="NormalWeb"/>
      </w:pPr>
      <w:r w:rsidRPr="00A14355">
        <w:t xml:space="preserve">Finally, DATAGOV asks how governance </w:t>
      </w:r>
      <w:r w:rsidRPr="00FE42BF">
        <w:rPr>
          <w:rStyle w:val="Emphasis"/>
          <w:i w:val="0"/>
          <w:iCs w:val="0"/>
        </w:rPr>
        <w:t>by</w:t>
      </w:r>
      <w:r w:rsidRPr="00A14355">
        <w:t xml:space="preserve"> data infrastructure transforms liberal democracy, treating regulatory data infrastructures as a form of design-based governance in which power is exercised through architecture rather than through law or policy. It </w:t>
      </w:r>
      <w:r w:rsidR="00E467D3">
        <w:t>works</w:t>
      </w:r>
      <w:r w:rsidRPr="00A14355">
        <w:t xml:space="preserve"> these ideas across three domains of transformation.</w:t>
      </w:r>
    </w:p>
    <w:p w14:paraId="1CE4D5BB" w14:textId="3AB691FE" w:rsidR="00A14355" w:rsidRPr="00A14355" w:rsidRDefault="00A14355" w:rsidP="00A14355">
      <w:pPr>
        <w:pStyle w:val="NormalWeb"/>
      </w:pPr>
      <w:r w:rsidRPr="00A14355">
        <w:t xml:space="preserve">The first is sovereignty. It is the political relationship between the state and its people, and the project asks whether regulatory data infrastructures shift power and control from the state to technical infrastructures. Its components are the state/market relation, technocratic expertise against value-laden politics, and the national/supranational tension. My research question </w:t>
      </w:r>
      <w:r w:rsidR="009457EF">
        <w:t>directly</w:t>
      </w:r>
      <w:r w:rsidRPr="00A14355">
        <w:t xml:space="preserve"> exten</w:t>
      </w:r>
      <w:r w:rsidR="009457EF">
        <w:t>ds</w:t>
      </w:r>
      <w:r w:rsidRPr="00A14355">
        <w:t xml:space="preserve"> DATAGOV's sovereignty axis. I observe the national/supranational tensions related to interoperability, as this system is designed to function above individual states. For example, the DG HOME case exemplifies sovereignty in the digital realm: member states govern the Schengen population by pooling identification data, while the EU simultaneously builds sovereignty </w:t>
      </w:r>
      <w:r w:rsidRPr="00A14355">
        <w:rPr>
          <w:rStyle w:val="Emphasis"/>
        </w:rPr>
        <w:t>over</w:t>
      </w:r>
      <w:r w:rsidRPr="00A14355">
        <w:t xml:space="preserve"> digital </w:t>
      </w:r>
      <w:r w:rsidR="009457EF">
        <w:t xml:space="preserve">sovereignty </w:t>
      </w:r>
      <w:r w:rsidRPr="00A14355">
        <w:t xml:space="preserve">by consolidating national systems into an architecture that eu-LISA operates and maintains. NATO inverts the institutional conditions while keeping the imperative; </w:t>
      </w:r>
      <w:r w:rsidR="009457EF">
        <w:t>it</w:t>
      </w:r>
      <w:r w:rsidRPr="00A14355">
        <w:t xml:space="preserve"> </w:t>
      </w:r>
      <w:r w:rsidR="009457EF">
        <w:t>exert</w:t>
      </w:r>
      <w:r w:rsidRPr="00A14355">
        <w:t xml:space="preserve">s </w:t>
      </w:r>
      <w:r w:rsidR="009457EF">
        <w:t>sovereignty</w:t>
      </w:r>
      <w:r w:rsidRPr="00A14355">
        <w:t xml:space="preserve"> through standard-setting and compliance rather than through a single agency. Comparing the two lets me specify which mechanism of infrastructural power belongs to which architecture, rather than treating "the digital shifts sovereignty away from the state" as one undifferentiated claim. The state/market </w:t>
      </w:r>
      <w:r w:rsidRPr="00E467D3">
        <w:t>component enters through the private vendors and innovation narratives that supply both architectures (sub-question 5), and the technocratic/political component through the fact that decisions with sovereignty effects are made as standards work (sub-question 2).</w:t>
      </w:r>
    </w:p>
    <w:p w14:paraId="11E83ADB" w14:textId="64C595EE" w:rsidR="00A14355" w:rsidRPr="00A14355" w:rsidRDefault="00A14355" w:rsidP="00A14355">
      <w:pPr>
        <w:pStyle w:val="NormalWeb"/>
      </w:pPr>
      <w:r w:rsidRPr="00A14355">
        <w:t>The second is inequality. In the project, data infrastructure is defined as the exertion of sensory power through the processes of detecting, identifying, and making people aware. DATAGOV is trying to build a taxonomy of the harms this produces, with the goal of shifting the debate from ideals of fairness to social justice. Its components are exclusion, bias and error, and discrimination in automated decision-making. Bias and error are intrinsic to interoperability. Standardi</w:t>
      </w:r>
      <w:r w:rsidR="009457EF">
        <w:t>z</w:t>
      </w:r>
      <w:r w:rsidRPr="00A14355">
        <w:t xml:space="preserve">ation is </w:t>
      </w:r>
      <w:r w:rsidR="009457EF">
        <w:t>central to these systems, as they must select which information, and in what forms, is</w:t>
      </w:r>
      <w:r w:rsidRPr="00A14355">
        <w:t xml:space="preserve"> gathered across states, reducing many digital realities to one. Biometric fingerprinting is a clear case, as it requires fingers to work, something not all individuals have. This process concentrates bias and errors within a single group. Exclusion </w:t>
      </w:r>
      <w:r w:rsidR="009457EF">
        <w:t>occur</w:t>
      </w:r>
      <w:r w:rsidRPr="00A14355">
        <w:t xml:space="preserve">s as identities are reduced to one standard, leaving people out, </w:t>
      </w:r>
      <w:r w:rsidR="009457EF">
        <w:t>such as</w:t>
      </w:r>
      <w:r w:rsidRPr="00A14355">
        <w:t xml:space="preserve"> those without fingers. All of these factors contribute to discrimination in automated decision-making, such as the inability to use fingerprint technologies for automatic border crossing, which forces individuals without fingers to wait for hours in airport lines.</w:t>
      </w:r>
    </w:p>
    <w:p w14:paraId="1526A7D2" w14:textId="1FA7267B" w:rsidR="00A14355" w:rsidRDefault="00A14355" w:rsidP="00A14355">
      <w:pPr>
        <w:pStyle w:val="NormalWeb"/>
      </w:pPr>
      <w:r w:rsidRPr="00A14355">
        <w:lastRenderedPageBreak/>
        <w:t>The final is citizenship. DATAGOV defines citizenship not as formal status but as the practices through which individuals reclaim and enact agency. Its components are subjectivation (how infrastructures make subjects), governmentality (rule through risk rationalities and algorithmic states of exception), trust, and agency and resistance. This area is the domain my design engages most indirectly, as I primarily access experts who design and operate these infrastructures, not those subject to them. Thus, my contribution is on the subjectivation and governmentality components rather than trust, agency</w:t>
      </w:r>
      <w:r w:rsidR="009457EF">
        <w:t>,</w:t>
      </w:r>
      <w:r w:rsidRPr="00A14355">
        <w:t xml:space="preserve"> and resistance. Sub-question </w:t>
      </w:r>
      <w:r w:rsidR="00E467D3">
        <w:t>4</w:t>
      </w:r>
      <w:r w:rsidRPr="00A14355">
        <w:t xml:space="preserve"> is written for exactly this purpose: how do builders account for individual rights, inequality</w:t>
      </w:r>
      <w:r w:rsidR="008D5524">
        <w:t>,</w:t>
      </w:r>
      <w:r w:rsidRPr="00A14355">
        <w:t xml:space="preserve"> and their own redistributive effects, and do they design with them in mind? That gives DATAGOV a view of citizenship from the production side. The project seeks to understand how risk rationalities are encoded into data models and standards, as well as how individuals who perceive themselves as operating lawfully justify the algorithmic state of exception. It complements rather than duplicates the project's citizen-facing work, and it is the natural point of articulation with colleagues working on lived experience of these regimes.</w:t>
      </w:r>
    </w:p>
    <w:p w14:paraId="25493DE2" w14:textId="77777777" w:rsidR="008D5524" w:rsidRDefault="007D555E" w:rsidP="008D5524">
      <w:pPr>
        <w:rPr>
          <w:b/>
          <w:bCs/>
        </w:rPr>
      </w:pPr>
      <w:r w:rsidRPr="000800E3">
        <w:rPr>
          <w:b/>
          <w:bCs/>
        </w:rPr>
        <w:t xml:space="preserve">The Method </w:t>
      </w:r>
      <w:r>
        <w:rPr>
          <w:b/>
          <w:bCs/>
        </w:rPr>
        <w:t>P</w:t>
      </w:r>
      <w:r w:rsidRPr="000800E3">
        <w:rPr>
          <w:b/>
          <w:bCs/>
        </w:rPr>
        <w:t>lan:</w:t>
      </w:r>
    </w:p>
    <w:p w14:paraId="5EAEC708" w14:textId="1AAAEB40" w:rsidR="007D555E" w:rsidRPr="008D5524" w:rsidRDefault="007D555E" w:rsidP="008D5524">
      <w:pPr>
        <w:rPr>
          <w:b/>
          <w:bCs/>
        </w:rPr>
      </w:pPr>
      <w:r>
        <w:t xml:space="preserve">This PhD employs an ethnographic design. Ethnography is, etymologically, writing about culture (Brannen 2011), but the working definition I adopt is Simmons and Smith's (2019): immersion in the place and lives of the people under study, which requires participant observation and the adoption of an </w:t>
      </w:r>
      <w:r>
        <w:rPr>
          <w:rStyle w:val="Emphasis"/>
        </w:rPr>
        <w:t>ethnographic sensibility</w:t>
      </w:r>
      <w:r>
        <w:t>, an attempt to understand how interlocutors make their own worlds meaningful, attending to the work that language and symbols do and treating knowledge as situated within relations of power. Three understandings follow from this definition (Suryani 2008). Data is generated in the setting as it ordinarily runs rather than under conditions I control. The researcher is the primary research instrument, so what counts as relevant is a product of my judgment and presence and must be accounted for rather than bracketed. My PhD design is abductive and still developing, meaning questions, research sites, and techniques remain revisable until the study closes, allowing me to respond to what the field turns out to contain (Lareau 2021). Ethnography is also methodologically eclectic; participant observation is the anchor, but it is routinely combined with other techniques that cross-check one another</w:t>
      </w:r>
      <w:r w:rsidR="008D5524">
        <w:t xml:space="preserve"> </w:t>
      </w:r>
      <w:r>
        <w:t>(Suryani 2008).</w:t>
      </w:r>
    </w:p>
    <w:p w14:paraId="721659B1" w14:textId="72F81C4E" w:rsidR="007D555E" w:rsidRDefault="007D555E" w:rsidP="007D555E">
      <w:pPr>
        <w:pStyle w:val="NormalWeb"/>
      </w:pPr>
      <w:r>
        <w:t>Accordingly, my data collection will use a mix of methods. This includes</w:t>
      </w:r>
      <w:r>
        <w:rPr>
          <w:rStyle w:val="Strong"/>
        </w:rPr>
        <w:t xml:space="preserve"> </w:t>
      </w:r>
      <w:r>
        <w:rPr>
          <w:rStyle w:val="Strong"/>
          <w:b w:val="0"/>
          <w:bCs w:val="0"/>
        </w:rPr>
        <w:t xml:space="preserve">hybrid ethnography, combining observant participant ethnography, partaking in the world under study through my </w:t>
      </w:r>
      <w:r w:rsidR="008D5524">
        <w:rPr>
          <w:rStyle w:val="Strong"/>
          <w:b w:val="0"/>
          <w:bCs w:val="0"/>
        </w:rPr>
        <w:t xml:space="preserve">intern </w:t>
      </w:r>
      <w:r>
        <w:rPr>
          <w:rStyle w:val="Strong"/>
          <w:b w:val="0"/>
          <w:bCs w:val="0"/>
        </w:rPr>
        <w:t xml:space="preserve">role at the NATO STO, and participant </w:t>
      </w:r>
      <w:r w:rsidR="008D5524">
        <w:rPr>
          <w:rStyle w:val="Strong"/>
          <w:b w:val="0"/>
          <w:bCs w:val="0"/>
        </w:rPr>
        <w:t xml:space="preserve">observant </w:t>
      </w:r>
      <w:r>
        <w:rPr>
          <w:rStyle w:val="Strong"/>
          <w:b w:val="0"/>
          <w:bCs w:val="0"/>
        </w:rPr>
        <w:t xml:space="preserve">ethnography, examining the world under study from the side, through my research on DG HOME interoperability at eu-LISA, Member State authorities, and such. </w:t>
      </w:r>
      <w:r>
        <w:t xml:space="preserve">I will also use methods such as </w:t>
      </w:r>
      <w:r>
        <w:rPr>
          <w:rStyle w:val="Strong"/>
          <w:b w:val="0"/>
          <w:bCs w:val="0"/>
        </w:rPr>
        <w:t>s</w:t>
      </w:r>
      <w:r w:rsidRPr="009C7A85">
        <w:rPr>
          <w:rStyle w:val="Strong"/>
          <w:b w:val="0"/>
          <w:bCs w:val="0"/>
        </w:rPr>
        <w:t>emi-structured expert interviews</w:t>
      </w:r>
      <w:r>
        <w:rPr>
          <w:rStyle w:val="Strong"/>
          <w:b w:val="0"/>
          <w:bCs w:val="0"/>
        </w:rPr>
        <w:t>, f</w:t>
      </w:r>
      <w:r w:rsidRPr="009C7A85">
        <w:rPr>
          <w:rStyle w:val="Strong"/>
          <w:b w:val="0"/>
          <w:bCs w:val="0"/>
        </w:rPr>
        <w:t>ieldnotes and field diarie</w:t>
      </w:r>
      <w:r>
        <w:rPr>
          <w:rStyle w:val="Strong"/>
          <w:b w:val="0"/>
          <w:bCs w:val="0"/>
        </w:rPr>
        <w:t>s, and d</w:t>
      </w:r>
      <w:r w:rsidRPr="009C7A85">
        <w:rPr>
          <w:rStyle w:val="Strong"/>
          <w:b w:val="0"/>
          <w:bCs w:val="0"/>
        </w:rPr>
        <w:t>ocument analysis</w:t>
      </w:r>
      <w:r w:rsidR="008D5524">
        <w:rPr>
          <w:rStyle w:val="Strong"/>
          <w:b w:val="0"/>
          <w:bCs w:val="0"/>
        </w:rPr>
        <w:t xml:space="preserve"> (see Table 1)</w:t>
      </w:r>
      <w:r>
        <w:rPr>
          <w:rStyle w:val="Strong"/>
          <w:b w:val="0"/>
          <w:bCs w:val="0"/>
        </w:rPr>
        <w:t>. I will process data using a</w:t>
      </w:r>
      <w:r w:rsidRPr="009C7A85">
        <w:rPr>
          <w:rStyle w:val="Strong"/>
          <w:b w:val="0"/>
          <w:bCs w:val="0"/>
        </w:rPr>
        <w:t>bductive coding</w:t>
      </w:r>
      <w:r>
        <w:t xml:space="preserve"> in MaxQDA, moving between data and interpretation as a systematic check on inference.</w:t>
      </w:r>
    </w:p>
    <w:p w14:paraId="5E7BC8B2" w14:textId="616F4B28" w:rsidR="007D555E" w:rsidRDefault="007D555E" w:rsidP="007D555E">
      <w:pPr>
        <w:pStyle w:val="NormalWeb"/>
      </w:pPr>
      <w:r>
        <w:t xml:space="preserve">The PhD is designed as a comparison, not a description alone. Both NATO and DG HOME are largely closed to outside observation, so part of the contribution is </w:t>
      </w:r>
      <w:r w:rsidR="009457EF">
        <w:t>establishing</w:t>
      </w:r>
      <w:r>
        <w:t xml:space="preserve"> what happens inside them. But this project asks how interoperability is built, justified, and how it affects power distributions among international organizations, member states, and people. By comparing observations across security contexts, I can make three main claims. First, a given process, mechanism, or practice exists and operates in a specified way across cases (Small 2009). Second, I can explain why one thing happened rather than a specified alternative by using the alternative case as a counterfactual (Lichterman and Reed 2015). Third, I use the </w:t>
      </w:r>
      <w:r>
        <w:lastRenderedPageBreak/>
        <w:t xml:space="preserve">comparison to specify interoperability as a phenomenon rather than assuming it in advance (Simmons and Smith 2019). </w:t>
      </w:r>
    </w:p>
    <w:p w14:paraId="66E8594C" w14:textId="53D78237" w:rsidR="007D555E" w:rsidRDefault="007D555E" w:rsidP="007D555E">
      <w:pPr>
        <w:pStyle w:val="NormalWeb"/>
      </w:pPr>
      <w:r>
        <w:t>The remainder of this section proceeds in three parts. The first sets out the ethnographic methods employed. The second sets out the comparative logic employed in my PhD and its relation to ethnography more broadly. Before outlining the practicalities, such as how data is processed and defining methods that complement and fall part of the ethnographic work, like interviews and document analysis.</w:t>
      </w:r>
    </w:p>
    <w:p w14:paraId="7AB69F55" w14:textId="77777777" w:rsidR="007D555E" w:rsidRPr="008D5524" w:rsidRDefault="007D555E" w:rsidP="007D555E">
      <w:pPr>
        <w:spacing w:before="100" w:beforeAutospacing="1" w:after="100" w:afterAutospacing="1"/>
        <w:rPr>
          <w:i/>
          <w:iCs/>
        </w:rPr>
      </w:pPr>
      <w:r w:rsidRPr="008D5524">
        <w:rPr>
          <w:i/>
          <w:iCs/>
        </w:rPr>
        <w:t>Hybrid ethnography:</w:t>
      </w:r>
    </w:p>
    <w:p w14:paraId="4B0B8134" w14:textId="77777777" w:rsidR="007D555E" w:rsidRPr="00AE2032" w:rsidRDefault="007D555E" w:rsidP="007D555E">
      <w:pPr>
        <w:spacing w:before="100" w:beforeAutospacing="1" w:after="100" w:afterAutospacing="1"/>
      </w:pPr>
      <w:r w:rsidRPr="00AE2032">
        <w:t>Ethnographers take part in and take notes on the context under study. Categories like "full participant" and "full observer" reflect this dichotomy, but current work accepts that all ethnographers are simultaneously participants in and observers of the settings they enter (Seim 2024). Each must therefore account for how their own presence shapes their findings. The question is not whether to participate, but to what extent.</w:t>
      </w:r>
    </w:p>
    <w:p w14:paraId="1368955D" w14:textId="7051C62E" w:rsidR="007D555E" w:rsidRPr="00AE2032" w:rsidRDefault="007D555E" w:rsidP="007D555E">
      <w:pPr>
        <w:spacing w:before="100" w:beforeAutospacing="1" w:after="100" w:afterAutospacing="1"/>
      </w:pPr>
      <w:r w:rsidRPr="00AE2032">
        <w:t>To specify that extent</w:t>
      </w:r>
      <w:r w:rsidR="00AB0F72">
        <w:t>,</w:t>
      </w:r>
      <w:r w:rsidRPr="00AE2032">
        <w:t xml:space="preserve"> I use Seim's (2024) distinction between participant observation and observant participation. Participant observers </w:t>
      </w:r>
      <w:r w:rsidR="00FF49EF">
        <w:t>research</w:t>
      </w:r>
      <w:r w:rsidRPr="00AE2032">
        <w:t xml:space="preserve"> from a position adjacent to the action</w:t>
      </w:r>
      <w:r>
        <w:t>, like a fly on the wall</w:t>
      </w:r>
      <w:r w:rsidRPr="00AE2032">
        <w:t>. Observant participators take up and enact a role that already exists in the field, adopting a more active stance and deliberately compressing the distance between themselves and their object</w:t>
      </w:r>
      <w:r>
        <w:t>, like working in the context of study</w:t>
      </w:r>
      <w:r w:rsidRPr="00AE2032">
        <w:t xml:space="preserve"> (Seim 2024)</w:t>
      </w:r>
      <w:r>
        <w:t xml:space="preserve">. </w:t>
      </w:r>
      <w:r w:rsidRPr="00AE2032">
        <w:t>This is closely related to what Boyle and Vandebroeck (2025), following Wacquant (2015), call enactive ethnography, and to what others call embodied ethnography.</w:t>
      </w:r>
    </w:p>
    <w:p w14:paraId="2E36D2B9" w14:textId="77777777" w:rsidR="007D555E" w:rsidRPr="00AE2032" w:rsidRDefault="007D555E" w:rsidP="007D555E">
      <w:pPr>
        <w:spacing w:before="100" w:beforeAutospacing="1" w:after="100" w:afterAutospacing="1"/>
      </w:pPr>
      <w:r w:rsidRPr="00AE2032">
        <w:t>I use this taxonomy because ethnography tends to reward "empirical depth," the assumption that deeper immersion means better analysis. Seim (2024) rejects this and holds that distance yields different, sometimes preferable, results. He sets out the trade-offs under three dimensions.</w:t>
      </w:r>
    </w:p>
    <w:p w14:paraId="083ED70E" w14:textId="171725EE" w:rsidR="007D555E" w:rsidRPr="00AE2032" w:rsidRDefault="007D555E" w:rsidP="007D555E">
      <w:pPr>
        <w:spacing w:before="100" w:beforeAutospacing="1" w:after="100" w:afterAutospacing="1"/>
      </w:pPr>
      <w:r w:rsidRPr="00AE2032">
        <w:t xml:space="preserve">The first is </w:t>
      </w:r>
      <w:r w:rsidRPr="00EE1DB1">
        <w:t>field positioning</w:t>
      </w:r>
      <w:r w:rsidRPr="00AE2032">
        <w:t>. Participant observation favors mobility. As a ride-along, Seim could distribute his time across day, night, weekday</w:t>
      </w:r>
      <w:r w:rsidR="00AB0F72">
        <w:t>,</w:t>
      </w:r>
      <w:r w:rsidRPr="00AE2032">
        <w:t xml:space="preserve"> and weekend shifts, and could shadow both sides of the labor process, riding with field supervisors and sitting in on management meetings. Observant participation trades this breadth for a fixed location in the division of labor</w:t>
      </w:r>
      <w:r>
        <w:t>.</w:t>
      </w:r>
      <w:r w:rsidRPr="00AE2032">
        <w:t xml:space="preserve"> </w:t>
      </w:r>
      <w:r>
        <w:t>O</w:t>
      </w:r>
      <w:r w:rsidRPr="00AE2032">
        <w:t>nce employed as an EMT</w:t>
      </w:r>
      <w:r>
        <w:t>,</w:t>
      </w:r>
      <w:r w:rsidRPr="00AE2032">
        <w:t xml:space="preserve"> he was barred from the supervisor vehicle and the managerial meetings, but workers spoke more candidly precisely because he no longer drifted between the spaces of labor and management (Seim 2024).</w:t>
      </w:r>
    </w:p>
    <w:p w14:paraId="6DCCF160" w14:textId="77777777" w:rsidR="007D555E" w:rsidRPr="00AE2032" w:rsidRDefault="007D555E" w:rsidP="007D555E">
      <w:pPr>
        <w:spacing w:before="100" w:beforeAutospacing="1" w:after="100" w:afterAutospacing="1"/>
      </w:pPr>
      <w:r w:rsidRPr="00AE2032">
        <w:t xml:space="preserve">The second is the </w:t>
      </w:r>
      <w:r w:rsidRPr="00EE1DB1">
        <w:t>analytic gaze</w:t>
      </w:r>
      <w:r w:rsidRPr="00AE2032">
        <w:t xml:space="preserve">. Participant observation lends itself to outward gazing first, with reflexive attention to the self as a secondary operation; observant participation reverses the order (Seim 2024). Working as an EMT, Seim tracked his own exhaustion and his acquisition of the occupational classifications </w:t>
      </w:r>
      <w:r>
        <w:t>workers</w:t>
      </w:r>
      <w:r w:rsidRPr="00AE2032">
        <w:t xml:space="preserve"> </w:t>
      </w:r>
      <w:r>
        <w:t>use</w:t>
      </w:r>
      <w:r w:rsidRPr="00AE2032">
        <w:t xml:space="preserve"> </w:t>
      </w:r>
      <w:r>
        <w:t>to</w:t>
      </w:r>
      <w:r w:rsidRPr="00AE2032">
        <w:t xml:space="preserve"> sort legitimate from illegitimate suffering, and these self-reflections became the primary evidence. Observant participation is nevertheless not autoethnography: the point is to connect the researcher's embodiment to that of similarly located actors while remaining alert to the dissimilarities. The inward gaze also needs external anchoring, whether through colleagues, as with Seim, or through other materials, as in Boyle and Vandebroeck's (2025) triangulation of the lead author's fieldnotes against 26 interviews with butlers and 33 manuals and memoirs.</w:t>
      </w:r>
    </w:p>
    <w:p w14:paraId="6A54E00A" w14:textId="77777777" w:rsidR="007D555E" w:rsidRPr="00AE2032" w:rsidRDefault="007D555E" w:rsidP="007D555E">
      <w:pPr>
        <w:spacing w:before="100" w:beforeAutospacing="1" w:after="100" w:afterAutospacing="1"/>
      </w:pPr>
      <w:r w:rsidRPr="00AE2032">
        <w:lastRenderedPageBreak/>
        <w:t xml:space="preserve">The third is </w:t>
      </w:r>
      <w:r w:rsidRPr="00EE1DB1">
        <w:t>data assembly</w:t>
      </w:r>
      <w:r w:rsidRPr="00AE2032">
        <w:t>. Participant observation is organi</w:t>
      </w:r>
      <w:r>
        <w:t>z</w:t>
      </w:r>
      <w:r w:rsidRPr="00AE2032">
        <w:t>ed around inscription: jottings taken in situ, elaborated into detailed fieldnotes away from the action. Observant participation makes this difficult, because the field wants the researcher's hands and mind for something else. The body becomes the recording medium and post-shift writing shifts toward an inward-facing field diary of sensuous activity (Seim 2024), which limits the detail recalled and reduces certainty about who said what. The remedy is partial: notes snatched whenever practicable, and fuller writing at the end of the day.</w:t>
      </w:r>
    </w:p>
    <w:p w14:paraId="5523DCB0" w14:textId="77777777" w:rsidR="007D555E" w:rsidRDefault="007D555E" w:rsidP="007D555E">
      <w:pPr>
        <w:spacing w:before="100" w:beforeAutospacing="1" w:after="100" w:afterAutospacing="1"/>
      </w:pPr>
      <w:r w:rsidRPr="00AE2032">
        <w:t xml:space="preserve">Mixing the two modes, which Seim (2024) calls hybrid ethnography, lets </w:t>
      </w:r>
      <w:r>
        <w:t>each</w:t>
      </w:r>
      <w:r w:rsidRPr="00AE2032">
        <w:t xml:space="preserve"> </w:t>
      </w:r>
      <w:r>
        <w:t>mode's</w:t>
      </w:r>
      <w:r w:rsidRPr="00AE2032">
        <w:t xml:space="preserve"> </w:t>
      </w:r>
      <w:r>
        <w:t>strengths</w:t>
      </w:r>
      <w:r w:rsidRPr="00AE2032">
        <w:t xml:space="preserve"> compensate for the </w:t>
      </w:r>
      <w:r>
        <w:t>other's</w:t>
      </w:r>
      <w:r w:rsidRPr="00AE2032">
        <w:t xml:space="preserve"> </w:t>
      </w:r>
      <w:r>
        <w:t>weaknesses</w:t>
      </w:r>
      <w:r w:rsidRPr="00AE2032">
        <w:t xml:space="preserve">. Participant observation offsets the low generalisability and weak recall of observant participation; observant participation offsets the relative shallowness of participant observation. </w:t>
      </w:r>
    </w:p>
    <w:p w14:paraId="5BD62BD8" w14:textId="6F4591C2" w:rsidR="007D555E" w:rsidRPr="00EE1DB1" w:rsidRDefault="007D555E" w:rsidP="008D5524">
      <w:pPr>
        <w:spacing w:before="100" w:beforeAutospacing="1" w:after="100" w:afterAutospacing="1"/>
        <w:ind w:firstLine="720"/>
        <w:rPr>
          <w:i/>
          <w:iCs/>
        </w:rPr>
      </w:pPr>
      <w:r>
        <w:rPr>
          <w:i/>
          <w:iCs/>
        </w:rPr>
        <w:t>Application to my PhD</w:t>
      </w:r>
      <w:r w:rsidR="008D5524">
        <w:rPr>
          <w:i/>
          <w:iCs/>
        </w:rPr>
        <w:t>:</w:t>
      </w:r>
    </w:p>
    <w:p w14:paraId="425CEA7D" w14:textId="071045AE" w:rsidR="007D555E" w:rsidRPr="00AE2032" w:rsidRDefault="007D555E" w:rsidP="007D555E">
      <w:pPr>
        <w:spacing w:before="100" w:beforeAutospacing="1" w:after="100" w:afterAutospacing="1"/>
      </w:pPr>
      <w:r w:rsidRPr="00AE2032">
        <w:t>This project distributes the modes across the two cases: observant participation at NATO's Science and Technology Organi</w:t>
      </w:r>
      <w:r>
        <w:t>z</w:t>
      </w:r>
      <w:r w:rsidRPr="00AE2032">
        <w:t>ation (STO), where I occupy an existing organi</w:t>
      </w:r>
      <w:r>
        <w:t>z</w:t>
      </w:r>
      <w:r w:rsidRPr="00AE2032">
        <w:t>ational role, and participant observation of the EU case, approached from the outside. This departs from Seim's design, in which both modes were trained on a single case so that the two data sets could check one another. Distributing them across cases means that any difference I find between the organi</w:t>
      </w:r>
      <w:r>
        <w:t>z</w:t>
      </w:r>
      <w:r w:rsidRPr="00AE2032">
        <w:t xml:space="preserve">ations is partly confounded with the method that produced it. Two mitigations are built in. Each </w:t>
      </w:r>
      <w:r>
        <w:t>context</w:t>
      </w:r>
      <w:r w:rsidRPr="00AE2032">
        <w:t xml:space="preserve"> </w:t>
      </w:r>
      <w:r>
        <w:t>will use</w:t>
      </w:r>
      <w:r w:rsidRPr="00AE2032">
        <w:t xml:space="preserve"> </w:t>
      </w:r>
      <w:r w:rsidR="00AB0F72">
        <w:t>a</w:t>
      </w:r>
      <w:r w:rsidRPr="00AE2032">
        <w:t xml:space="preserve"> secondary </w:t>
      </w:r>
      <w:r>
        <w:t>ethnographic approach</w:t>
      </w:r>
      <w:r w:rsidR="00AB0F72">
        <w:t>;</w:t>
      </w:r>
      <w:r w:rsidRPr="00AE2032">
        <w:t xml:space="preserve"> the NATO fieldwork will include shadowing and interviewing beyond my own role,</w:t>
      </w:r>
      <w:r>
        <w:t xml:space="preserve"> taking a participant</w:t>
      </w:r>
      <w:r w:rsidR="00AB0F72">
        <w:t>-</w:t>
      </w:r>
      <w:r>
        <w:t>observation perspective</w:t>
      </w:r>
      <w:r w:rsidR="00AB0F72">
        <w:t>;</w:t>
      </w:r>
      <w:r w:rsidRPr="00AE2032">
        <w:t xml:space="preserve"> and the EU case will incorporate whatever participatory involvement is ethically and practically available</w:t>
      </w:r>
      <w:r>
        <w:t>.</w:t>
      </w:r>
      <w:r w:rsidRPr="00AE2032">
        <w:t xml:space="preserve"> </w:t>
      </w:r>
      <w:r>
        <w:t>This</w:t>
      </w:r>
      <w:r w:rsidRPr="00AE2032">
        <w:t xml:space="preserve"> makes the design an oscillating</w:t>
      </w:r>
      <w:r>
        <w:t>,</w:t>
      </w:r>
      <w:r w:rsidRPr="00AE2032">
        <w:t xml:space="preserve"> rather than strictly sequential</w:t>
      </w:r>
      <w:r>
        <w:t>,</w:t>
      </w:r>
      <w:r w:rsidRPr="00AE2032">
        <w:t xml:space="preserve"> hybrid. </w:t>
      </w:r>
      <w:r>
        <w:t>I</w:t>
      </w:r>
      <w:r w:rsidRPr="00AE2032">
        <w:t>n the comparison</w:t>
      </w:r>
      <w:r>
        <w:t>,</w:t>
      </w:r>
      <w:r w:rsidRPr="00AE2032">
        <w:t xml:space="preserve"> I will state which mode generated the evidence on each side, treating method-driven differences as a candidate explanation before substantive ones.</w:t>
      </w:r>
    </w:p>
    <w:p w14:paraId="019CA245" w14:textId="369E91C9" w:rsidR="007D555E" w:rsidRDefault="007D555E" w:rsidP="007D555E">
      <w:pPr>
        <w:spacing w:before="100" w:beforeAutospacing="1" w:after="100" w:afterAutospacing="1"/>
      </w:pPr>
      <w:r w:rsidRPr="00AE2032">
        <w:t>At STO</w:t>
      </w:r>
      <w:r w:rsidR="00AB0F72">
        <w:t>,</w:t>
      </w:r>
      <w:r w:rsidRPr="00AE2032">
        <w:t xml:space="preserve"> my position is fixed</w:t>
      </w:r>
      <w:r>
        <w:t xml:space="preserve">. I will work for </w:t>
      </w:r>
      <w:r w:rsidRPr="00AE2032">
        <w:t>one branch</w:t>
      </w:r>
      <w:r w:rsidR="00AB0F72">
        <w:t>,</w:t>
      </w:r>
      <w:r>
        <w:t xml:space="preserve"> in one capacity</w:t>
      </w:r>
      <w:r w:rsidR="00AB0F72">
        <w:t>:</w:t>
      </w:r>
      <w:r>
        <w:t xml:space="preserve"> an intern. </w:t>
      </w:r>
      <w:r w:rsidR="00AB0F72">
        <w:t>This limits</w:t>
      </w:r>
      <w:r>
        <w:t xml:space="preserve"> my</w:t>
      </w:r>
      <w:r w:rsidRPr="00AE2032">
        <w:t xml:space="preserve"> movement </w:t>
      </w:r>
      <w:r>
        <w:t xml:space="preserve">within NATO, </w:t>
      </w:r>
      <w:r w:rsidR="00AB0F72">
        <w:t>such as</w:t>
      </w:r>
      <w:r>
        <w:t xml:space="preserve"> accessing</w:t>
      </w:r>
      <w:r w:rsidRPr="00AE2032">
        <w:t xml:space="preserve"> the national delegations that adopt or decline </w:t>
      </w:r>
      <w:r>
        <w:t>interoperability</w:t>
      </w:r>
      <w:r w:rsidRPr="00AE2032">
        <w:t xml:space="preserve"> and the commands that use it. What the position buys is depth. Because NATO's architecture is federated, power operates through standard-setting and voluntary compliance</w:t>
      </w:r>
      <w:r>
        <w:t>. This means compliance occurs</w:t>
      </w:r>
      <w:r w:rsidRPr="00AE2032">
        <w:t xml:space="preserve"> </w:t>
      </w:r>
      <w:r>
        <w:t xml:space="preserve">through </w:t>
      </w:r>
      <w:r w:rsidRPr="00AE2032">
        <w:t xml:space="preserve">meetings and negotiation, </w:t>
      </w:r>
      <w:r>
        <w:t xml:space="preserve">which I intend to partake </w:t>
      </w:r>
      <w:r w:rsidR="00AB0F72">
        <w:t xml:space="preserve">in </w:t>
      </w:r>
      <w:r>
        <w:t xml:space="preserve">and understand how this functions and reflects interoperability at NATO. </w:t>
      </w:r>
      <w:r w:rsidR="00AB0F72">
        <w:t xml:space="preserve">My note-taking materials include field diaries, successive drafts of documents I produce, revisions imposed on them, meeting notes, and recurring narratives across the institution that frame how NATO adopts </w:t>
      </w:r>
      <w:r w:rsidR="00FF49EF">
        <w:t>data infrastructures</w:t>
      </w:r>
      <w:r w:rsidR="00AB0F72">
        <w:t>.</w:t>
      </w:r>
      <w:r>
        <w:t xml:space="preserve"> N</w:t>
      </w:r>
      <w:r w:rsidRPr="00AE2032">
        <w:t>ote-taking will be the main practical constraint</w:t>
      </w:r>
      <w:r>
        <w:t xml:space="preserve">, as I still need to accomplish STO duties; therefore, I will create systems for taking notes during meetings, breaks, and at the end of </w:t>
      </w:r>
      <w:r w:rsidR="00AB0F72">
        <w:t>each</w:t>
      </w:r>
      <w:r>
        <w:t xml:space="preserve"> evening. </w:t>
      </w:r>
    </w:p>
    <w:p w14:paraId="7109D0E9" w14:textId="4ACEACE1" w:rsidR="007D555E" w:rsidRPr="00AE2032" w:rsidRDefault="007D555E" w:rsidP="007D555E">
      <w:pPr>
        <w:spacing w:before="100" w:beforeAutospacing="1" w:after="100" w:afterAutospacing="1"/>
      </w:pPr>
      <w:r>
        <w:t>This research will</w:t>
      </w:r>
      <w:r w:rsidRPr="00AE2032">
        <w:t xml:space="preserve"> support </w:t>
      </w:r>
      <w:r>
        <w:t>my PhD in three ways</w:t>
      </w:r>
      <w:r w:rsidRPr="00AE2032">
        <w:t>.</w:t>
      </w:r>
      <w:r>
        <w:t xml:space="preserve"> The first (sub-question 1) is building</w:t>
      </w:r>
      <w:r w:rsidRPr="00AE2032">
        <w:t xml:space="preserve"> an account of how a </w:t>
      </w:r>
      <w:r>
        <w:t>technology, eg.</w:t>
      </w:r>
      <w:r w:rsidR="00AB0F72">
        <w:t>,</w:t>
      </w:r>
      <w:r>
        <w:t xml:space="preserve"> novel data infrastructure, </w:t>
      </w:r>
      <w:r w:rsidRPr="00AE2032">
        <w:t>becomes a candidate standard</w:t>
      </w:r>
      <w:r>
        <w:t xml:space="preserve"> within NATO. I can observe</w:t>
      </w:r>
      <w:r w:rsidRPr="00AE2032">
        <w:t xml:space="preserve"> whose hands </w:t>
      </w:r>
      <w:r>
        <w:t>created the proposal, how it was altered, parts discarded, and even how ‘success’ is measured. This will create an in</w:t>
      </w:r>
      <w:r w:rsidR="00AB0F72">
        <w:t>-</w:t>
      </w:r>
      <w:r>
        <w:t>depth understanding o</w:t>
      </w:r>
      <w:r w:rsidR="00AB0F72">
        <w:t>f</w:t>
      </w:r>
      <w:r>
        <w:t xml:space="preserve"> how systems are built and biased in the NATO context. </w:t>
      </w:r>
      <w:r w:rsidRPr="00AE2032">
        <w:t xml:space="preserve">On innovation narratives (sub-question 5), </w:t>
      </w:r>
      <w:r>
        <w:t>by understanding wh</w:t>
      </w:r>
      <w:r w:rsidR="00FF49EF">
        <w:t>ich</w:t>
      </w:r>
      <w:r>
        <w:t xml:space="preserve"> innovative interoperability projects NATO</w:t>
      </w:r>
      <w:r w:rsidR="00FF49EF">
        <w:t xml:space="preserve"> adopts</w:t>
      </w:r>
      <w:r w:rsidR="00AB0F72">
        <w:t xml:space="preserve"> and for what purpose</w:t>
      </w:r>
      <w:r>
        <w:t>, I can understand what</w:t>
      </w:r>
      <w:r w:rsidRPr="00AE2032">
        <w:t xml:space="preserve"> criteria are enforced </w:t>
      </w:r>
      <w:r>
        <w:t xml:space="preserve">and how they shape interoperability. This might not be explicit rules, but informal ones within the institutional workings, therefore about how they are imposed on me. </w:t>
      </w:r>
      <w:r w:rsidRPr="00AE2032">
        <w:t xml:space="preserve">I will also be subject to the standards I study, and the effort of making my own outputs conform </w:t>
      </w:r>
      <w:r>
        <w:t xml:space="preserve">will reflect what exactly I am </w:t>
      </w:r>
      <w:r>
        <w:lastRenderedPageBreak/>
        <w:t>conforming to. Thus, d</w:t>
      </w:r>
      <w:r w:rsidRPr="00AE2032">
        <w:t>rafting a technical activity proposal, or framing a result as addressing a capability gap</w:t>
      </w:r>
      <w:r>
        <w:t xml:space="preserve">, all work to this conclusion. Finally, </w:t>
      </w:r>
      <w:r w:rsidRPr="00AE2032">
        <w:t>how experts account for rights and downstream effects (sub-question 4), the value lies in silence</w:t>
      </w:r>
      <w:r>
        <w:t>. A</w:t>
      </w:r>
      <w:r w:rsidRPr="00AE2032">
        <w:t>sking a practitioner about rights makes the topic accountable and produces an account, whereas working through a full cycle without ever being required to address it</w:t>
      </w:r>
      <w:r>
        <w:t xml:space="preserve"> demonstrates a lack of care</w:t>
      </w:r>
      <w:r w:rsidRPr="00AE2032">
        <w:t xml:space="preserve">. </w:t>
      </w:r>
    </w:p>
    <w:p w14:paraId="20A05C0E" w14:textId="7B76CB7D" w:rsidR="007D555E" w:rsidRPr="00AE2032" w:rsidRDefault="007D555E" w:rsidP="007D555E">
      <w:pPr>
        <w:spacing w:before="100" w:beforeAutospacing="1" w:after="100" w:afterAutospacing="1"/>
      </w:pPr>
      <w:r w:rsidRPr="00AE2032">
        <w:t>The EU case works the other way. Moving between DG HOME, eu-LISA, Member State authorities</w:t>
      </w:r>
      <w:r>
        <w:t>,</w:t>
      </w:r>
      <w:r w:rsidRPr="00AE2032">
        <w:t xml:space="preserve"> and practitioners makes the delegation of authority visible (sub-question 2), since delegation is a relation that </w:t>
      </w:r>
      <w:r w:rsidR="00FF49EF">
        <w:t>no</w:t>
      </w:r>
      <w:r w:rsidRPr="00AE2032">
        <w:t xml:space="preserve"> single node</w:t>
      </w:r>
      <w:r w:rsidR="00FF49EF">
        <w:t xml:space="preserve"> can observe</w:t>
      </w:r>
      <w:r w:rsidRPr="00AE2032">
        <w:t xml:space="preserve">. </w:t>
      </w:r>
      <w:r>
        <w:t xml:space="preserve">The </w:t>
      </w:r>
      <w:r w:rsidRPr="00AE2032">
        <w:t>gap between formal legal standard</w:t>
      </w:r>
      <w:r w:rsidR="00AB0F72">
        <w:t>s</w:t>
      </w:r>
      <w:r w:rsidRPr="00AE2032">
        <w:t xml:space="preserve"> and everyday workaround</w:t>
      </w:r>
      <w:r w:rsidR="00AB0F72">
        <w:t>s</w:t>
      </w:r>
      <w:r>
        <w:t xml:space="preserve"> (sub-question 4)</w:t>
      </w:r>
      <w:r w:rsidRPr="00AE2032">
        <w:t xml:space="preserve"> is observable only </w:t>
      </w:r>
      <w:r w:rsidR="00AB0F72">
        <w:t>through</w:t>
      </w:r>
      <w:r>
        <w:t xml:space="preserve"> experts</w:t>
      </w:r>
      <w:r w:rsidRPr="00AE2032">
        <w:t xml:space="preserve">, because documents and formal accounts alike record </w:t>
      </w:r>
      <w:r w:rsidR="00AB0F72">
        <w:t>compliance; thus, it is about understanding how and when experts use necessity and proportionality to justify rights impositions. This can be gathered through in-depth</w:t>
      </w:r>
      <w:r>
        <w:t xml:space="preserve"> field</w:t>
      </w:r>
      <w:r w:rsidR="00AB0F72">
        <w:t xml:space="preserve"> interviews</w:t>
      </w:r>
      <w:r w:rsidRPr="00AE2032">
        <w:t xml:space="preserve">. </w:t>
      </w:r>
    </w:p>
    <w:p w14:paraId="4A1CE146" w14:textId="4EC6C83A" w:rsidR="007D555E" w:rsidRPr="009606B6" w:rsidRDefault="007D555E" w:rsidP="00FF49EF">
      <w:pPr>
        <w:spacing w:before="100" w:beforeAutospacing="1" w:after="100" w:afterAutospacing="1"/>
      </w:pPr>
      <w:r>
        <w:t>My</w:t>
      </w:r>
      <w:r w:rsidRPr="00AE2032">
        <w:t xml:space="preserve"> </w:t>
      </w:r>
      <w:r>
        <w:t>research</w:t>
      </w:r>
      <w:r w:rsidRPr="00AE2032">
        <w:t xml:space="preserve"> </w:t>
      </w:r>
      <w:r>
        <w:t>plan has three limits</w:t>
      </w:r>
      <w:r w:rsidRPr="00AE2032">
        <w:t xml:space="preserve">. First, STO is one branch of the alliance, so conclusions </w:t>
      </w:r>
      <w:r w:rsidR="00AB0F72">
        <w:t>about</w:t>
      </w:r>
      <w:r>
        <w:t xml:space="preserve"> NATO as a whole will </w:t>
      </w:r>
      <w:r w:rsidR="00AB0F72">
        <w:t>need</w:t>
      </w:r>
      <w:r>
        <w:t xml:space="preserve"> </w:t>
      </w:r>
      <w:r w:rsidR="00AB0F72">
        <w:t>careful</w:t>
      </w:r>
      <w:r>
        <w:t xml:space="preserve"> </w:t>
      </w:r>
      <w:r w:rsidR="00AB0F72">
        <w:t>assessment</w:t>
      </w:r>
      <w:r>
        <w:t xml:space="preserve"> </w:t>
      </w:r>
      <w:r w:rsidR="00AB0F72">
        <w:t>of</w:t>
      </w:r>
      <w:r>
        <w:t xml:space="preserve"> </w:t>
      </w:r>
      <w:r w:rsidR="00AB0F72">
        <w:t>whether</w:t>
      </w:r>
      <w:r>
        <w:t xml:space="preserve"> the branch has NATO</w:t>
      </w:r>
      <w:r w:rsidR="00AB0F72">
        <w:t>-</w:t>
      </w:r>
      <w:r>
        <w:t>wide impact or remains within this d</w:t>
      </w:r>
      <w:r w:rsidR="00AB0F72">
        <w:t>i</w:t>
      </w:r>
      <w:r>
        <w:t>vision</w:t>
      </w:r>
      <w:r w:rsidRPr="00AE2032">
        <w:t xml:space="preserve">. Second, ethnography </w:t>
      </w:r>
      <w:r w:rsidR="00AB0F72">
        <w:t>shows how mechanisms and meanings are generated rather than distributed, so fieldwork alone does not support claims about frequency or representativeness.</w:t>
      </w:r>
      <w:r>
        <w:t xml:space="preserve"> </w:t>
      </w:r>
      <w:r w:rsidRPr="00AE2032">
        <w:t>Third, both sites are sites of production rather than of consequence</w:t>
      </w:r>
      <w:r>
        <w:t xml:space="preserve">. Meaning that </w:t>
      </w:r>
      <w:r w:rsidRPr="00AE2032">
        <w:t>those most exposed by these infrastructures are not present in either field, so I can show how their exposure is built and how it is accounted for by those who build it, but not what the infrastructure does to them.</w:t>
      </w:r>
      <w:r>
        <w:t xml:space="preserve"> </w:t>
      </w:r>
    </w:p>
    <w:p w14:paraId="50FB19AA" w14:textId="77777777" w:rsidR="007D555E" w:rsidRDefault="007D555E" w:rsidP="007D555E"/>
    <w:p w14:paraId="54640F31" w14:textId="620728F9" w:rsidR="007D555E" w:rsidRDefault="00FF49EF" w:rsidP="00FF49EF">
      <w:pPr>
        <w:rPr>
          <w:b/>
          <w:bCs/>
        </w:rPr>
      </w:pPr>
      <w:r>
        <w:rPr>
          <w:b/>
          <w:bCs/>
        </w:rPr>
        <w:t>Comparative Ethnography</w:t>
      </w:r>
    </w:p>
    <w:p w14:paraId="099C5DCA" w14:textId="77777777" w:rsidR="00FF49EF" w:rsidRPr="00FF49EF" w:rsidRDefault="00FF49EF" w:rsidP="00FF49EF">
      <w:pPr>
        <w:rPr>
          <w:b/>
          <w:bCs/>
        </w:rPr>
      </w:pPr>
    </w:p>
    <w:p w14:paraId="1DA7A863" w14:textId="77777777" w:rsidR="007D555E" w:rsidRPr="00796F52" w:rsidRDefault="007D555E" w:rsidP="007D555E">
      <w:pPr>
        <w:rPr>
          <w:i/>
          <w:iCs/>
        </w:rPr>
      </w:pPr>
      <w:r w:rsidRPr="00796F52">
        <w:rPr>
          <w:i/>
          <w:iCs/>
        </w:rPr>
        <w:t>The single-case default</w:t>
      </w:r>
    </w:p>
    <w:p w14:paraId="43F3B2C9" w14:textId="71E38AAB" w:rsidR="007D555E" w:rsidRDefault="007D555E" w:rsidP="007D555E">
      <w:pPr>
        <w:spacing w:before="100" w:beforeAutospacing="1" w:after="100" w:afterAutospacing="1"/>
      </w:pPr>
      <w:r w:rsidRPr="00796F52">
        <w:t>Ethnography is strongly associated with the single case. Brannen (2011) calls this a conundrum</w:t>
      </w:r>
      <w:r w:rsidR="00AB0F72">
        <w:t>:</w:t>
      </w:r>
      <w:r w:rsidRPr="00796F52">
        <w:t xml:space="preserve"> an ethnographic account corresponds to its site, and it is unclear whether anything learned holds elsewhere</w:t>
      </w:r>
      <w:r>
        <w:t xml:space="preserve">, or </w:t>
      </w:r>
      <w:r w:rsidR="00AB0F72">
        <w:t>whether</w:t>
      </w:r>
      <w:r>
        <w:t xml:space="preserve"> it is necessary</w:t>
      </w:r>
      <w:r w:rsidRPr="00796F52">
        <w:t xml:space="preserve">. </w:t>
      </w:r>
      <w:r w:rsidR="00AB0F72">
        <w:t>The c</w:t>
      </w:r>
      <w:r w:rsidRPr="00796F52">
        <w:t>omparative method in its positivist form asks the researcher to look past a place</w:t>
      </w:r>
      <w:r>
        <w:t>'s uniqueness</w:t>
      </w:r>
      <w:r w:rsidRPr="00796F52">
        <w:t xml:space="preserve"> and control for alternatives through case selection, which sits </w:t>
      </w:r>
      <w:r w:rsidR="00AB0F72">
        <w:t>poor</w:t>
      </w:r>
      <w:r w:rsidRPr="00796F52">
        <w:t xml:space="preserve">ly with </w:t>
      </w:r>
      <w:r>
        <w:t xml:space="preserve">abductive research </w:t>
      </w:r>
      <w:r w:rsidRPr="00796F52">
        <w:t>built on ambiguity that cannot be fixed before fieldwork</w:t>
      </w:r>
      <w:r>
        <w:t xml:space="preserve">. Therefore, </w:t>
      </w:r>
      <w:r w:rsidR="00AB0F72">
        <w:t>researchers</w:t>
      </w:r>
      <w:r>
        <w:t xml:space="preserve"> </w:t>
      </w:r>
      <w:r w:rsidR="00AB0F72">
        <w:t>cannot</w:t>
      </w:r>
      <w:r>
        <w:t xml:space="preserve"> fix independent variables in case selection </w:t>
      </w:r>
      <w:r w:rsidR="00AB0F72">
        <w:t>because</w:t>
      </w:r>
      <w:r>
        <w:t xml:space="preserve"> the testable theory does not yet</w:t>
      </w:r>
      <w:r w:rsidR="00AB0F72">
        <w:t xml:space="preserve"> exist</w:t>
      </w:r>
      <w:r>
        <w:t xml:space="preserve"> (….).</w:t>
      </w:r>
    </w:p>
    <w:p w14:paraId="771E942B" w14:textId="17FC1F2F" w:rsidR="007D555E" w:rsidRDefault="007D555E" w:rsidP="007D555E">
      <w:pPr>
        <w:spacing w:before="100" w:beforeAutospacing="1" w:after="100" w:afterAutospacing="1"/>
      </w:pPr>
      <w:r>
        <w:t>However, c</w:t>
      </w:r>
      <w:r w:rsidRPr="00796F52">
        <w:t xml:space="preserve">omparison is </w:t>
      </w:r>
      <w:r>
        <w:t xml:space="preserve">already essential </w:t>
      </w:r>
      <w:r w:rsidR="000D6D23">
        <w:t>to</w:t>
      </w:r>
      <w:r>
        <w:t xml:space="preserve"> knowledge production in ethnographic research</w:t>
      </w:r>
      <w:r w:rsidR="00AB0F72">
        <w:t>,</w:t>
      </w:r>
      <w:r>
        <w:t xml:space="preserve"> whether </w:t>
      </w:r>
      <w:r w:rsidR="00AB0F72">
        <w:t>explicit</w:t>
      </w:r>
      <w:r>
        <w:t xml:space="preserve"> or not (</w:t>
      </w:r>
      <w:r w:rsidRPr="00796F52">
        <w:t>Simmons and Smith</w:t>
      </w:r>
      <w:r>
        <w:t xml:space="preserve">, </w:t>
      </w:r>
      <w:r w:rsidRPr="00796F52">
        <w:t>2019</w:t>
      </w:r>
      <w:r>
        <w:t xml:space="preserve">). </w:t>
      </w:r>
      <w:r w:rsidRPr="00796F52">
        <w:t xml:space="preserve">Lichterman and Reed (2015) </w:t>
      </w:r>
      <w:r>
        <w:t xml:space="preserve">argue that ethnographers </w:t>
      </w:r>
      <w:r w:rsidR="00AB0F72">
        <w:t>must</w:t>
      </w:r>
      <w:r>
        <w:t xml:space="preserve"> compare a series of observations within a case to construct larger concepts, theories, and arguments </w:t>
      </w:r>
      <w:r w:rsidR="00AB0F72">
        <w:t>for</w:t>
      </w:r>
      <w:r>
        <w:t xml:space="preserve"> the field.</w:t>
      </w:r>
      <w:r w:rsidR="000D6D23">
        <w:rPr>
          <w:rStyle w:val="FootnoteReference"/>
        </w:rPr>
        <w:footnoteReference w:id="2"/>
      </w:r>
      <w:r>
        <w:t xml:space="preserve"> </w:t>
      </w:r>
      <w:r w:rsidRPr="00796F52">
        <w:t xml:space="preserve">Brannen (2011) </w:t>
      </w:r>
      <w:r>
        <w:t>comes from a more deductive logic, arguing that comparison occurs</w:t>
      </w:r>
      <w:r w:rsidRPr="00796F52">
        <w:t xml:space="preserve"> </w:t>
      </w:r>
      <w:r>
        <w:t>when</w:t>
      </w:r>
      <w:r w:rsidRPr="00796F52">
        <w:t xml:space="preserve"> theory </w:t>
      </w:r>
      <w:r>
        <w:t xml:space="preserve">is put </w:t>
      </w:r>
      <w:r w:rsidRPr="00796F52">
        <w:t xml:space="preserve">against </w:t>
      </w:r>
      <w:r>
        <w:t>observation</w:t>
      </w:r>
      <w:r w:rsidRPr="00796F52">
        <w:t>, looking for repeating categories, considering the relationships among them</w:t>
      </w:r>
      <w:r w:rsidR="00AB0F72">
        <w:t>,</w:t>
      </w:r>
      <w:r w:rsidRPr="00796F52">
        <w:t xml:space="preserve"> and asking why those relationships hold</w:t>
      </w:r>
      <w:r>
        <w:t xml:space="preserve"> or not within the theory</w:t>
      </w:r>
      <w:r w:rsidRPr="00796F52">
        <w:t>. She describes this as a shift from the ideographic, where the aim is thick description of the site, towards the nomothetic, where the aim is to identify regularities. I take that shift only partially</w:t>
      </w:r>
      <w:r>
        <w:t>. M</w:t>
      </w:r>
      <w:r w:rsidRPr="00796F52">
        <w:t xml:space="preserve">y comparison is for conceptual specification, not </w:t>
      </w:r>
      <w:r>
        <w:t xml:space="preserve">necessarily </w:t>
      </w:r>
      <w:r w:rsidRPr="00796F52">
        <w:t>for generali</w:t>
      </w:r>
      <w:r w:rsidR="00AB0F72">
        <w:t>z</w:t>
      </w:r>
      <w:r w:rsidRPr="00796F52">
        <w:t>ation to a population.</w:t>
      </w:r>
    </w:p>
    <w:p w14:paraId="6B273CF0" w14:textId="77777777" w:rsidR="007D555E" w:rsidRPr="00AC4222" w:rsidRDefault="007D555E" w:rsidP="007D555E">
      <w:pPr>
        <w:spacing w:before="100" w:beforeAutospacing="1" w:after="100" w:afterAutospacing="1"/>
        <w:rPr>
          <w:i/>
          <w:iCs/>
        </w:rPr>
      </w:pPr>
      <w:r w:rsidRPr="00AC4222">
        <w:rPr>
          <w:i/>
          <w:iCs/>
        </w:rPr>
        <w:lastRenderedPageBreak/>
        <w:t>Comparison within the case</w:t>
      </w:r>
    </w:p>
    <w:p w14:paraId="5B59C509" w14:textId="2C740F33" w:rsidR="007D555E" w:rsidRPr="00796F52" w:rsidRDefault="007D555E" w:rsidP="007D555E">
      <w:pPr>
        <w:spacing w:before="100" w:beforeAutospacing="1" w:after="100" w:afterAutospacing="1"/>
      </w:pPr>
      <w:r w:rsidRPr="00796F52">
        <w:t xml:space="preserve">Each </w:t>
      </w:r>
      <w:r>
        <w:t xml:space="preserve">of my </w:t>
      </w:r>
      <w:r w:rsidRPr="00796F52">
        <w:t>case</w:t>
      </w:r>
      <w:r>
        <w:t>s</w:t>
      </w:r>
      <w:r w:rsidRPr="00796F52">
        <w:t xml:space="preserve"> will first be worked comparatively from the inside, which is where I expect theory-building and any causal claims to lie. Simmons and Smith's </w:t>
      </w:r>
      <w:r>
        <w:t>exemplify how this process works</w:t>
      </w:r>
      <w:r w:rsidRPr="00796F52">
        <w:t xml:space="preserve"> i</w:t>
      </w:r>
      <w:r>
        <w:t>n</w:t>
      </w:r>
      <w:r w:rsidRPr="00796F52">
        <w:t xml:space="preserve"> Pachirat's slaughterhouse study</w:t>
      </w:r>
      <w:r>
        <w:t>. O</w:t>
      </w:r>
      <w:r w:rsidRPr="00796F52">
        <w:t xml:space="preserve">n </w:t>
      </w:r>
      <w:r>
        <w:t>the</w:t>
      </w:r>
      <w:r w:rsidRPr="00796F52">
        <w:t xml:space="preserve"> </w:t>
      </w:r>
      <w:r w:rsidR="00AB0F72">
        <w:t>surface,</w:t>
      </w:r>
      <w:r>
        <w:t xml:space="preserve"> the study is</w:t>
      </w:r>
      <w:r w:rsidRPr="00796F52">
        <w:t xml:space="preserve"> a single case, but because management moved him between functionally separated positions</w:t>
      </w:r>
      <w:r>
        <w:t>,</w:t>
      </w:r>
      <w:r w:rsidRPr="00796F52">
        <w:t xml:space="preserve"> he could hold practices </w:t>
      </w:r>
      <w:r w:rsidR="00AB0F72">
        <w:t xml:space="preserve">up </w:t>
      </w:r>
      <w:r w:rsidRPr="00796F52">
        <w:t>against one another. His reassignment from the liver-hanging room to the kill floor is what makes his argument about concealment work, showing that workers whose labor depends on killing can remain unaware of it when distance and sight separate them from it.</w:t>
      </w:r>
    </w:p>
    <w:p w14:paraId="4BC753FF" w14:textId="7F2040BC" w:rsidR="002F6071" w:rsidRDefault="002F6071" w:rsidP="002F6071">
      <w:pPr>
        <w:pStyle w:val="NormalWeb"/>
      </w:pPr>
      <w:r>
        <w:t>Lichterman and Reed (2015) explain how ethnographic research builds causal claims from within a case without recourse to hypothesis testing. Ethnographic explanation, they argue, is contrastive: a why-question is only well defined once its "rather than" clause is stated, and the same phenomenon admits different but equally true explanations depending on which alternatives are named. Asking why a standard was adopted rather than left to stall is a different question, with a different answer, from asking why it was adopted rather than mandated. Which alternatives count is set by theory rather than by the data alone, so a different starting point would train the search differently and produce a different, not necessarily false, account. Alternatives are examined in the field rather than controlled for in advance, and set aside where they fail to distinguish the case. The resulting explanation is deliberately partial</w:t>
      </w:r>
      <w:r w:rsidR="000D6D23">
        <w:t>;</w:t>
      </w:r>
      <w:r>
        <w:t xml:space="preserve"> </w:t>
      </w:r>
      <w:r w:rsidR="000D6D23">
        <w:t xml:space="preserve">however, it works against a counterfactual, allowing causal claims to be made. Letting </w:t>
      </w:r>
      <w:r>
        <w:t>mechanisms travel.</w:t>
      </w:r>
    </w:p>
    <w:p w14:paraId="31D57AE8" w14:textId="740449B2" w:rsidR="007D555E" w:rsidRDefault="007D555E" w:rsidP="007D555E">
      <w:pPr>
        <w:spacing w:before="100" w:beforeAutospacing="1" w:after="100" w:afterAutospacing="1"/>
      </w:pPr>
      <w:r w:rsidRPr="00796F52">
        <w:rPr>
          <w:b/>
          <w:bCs/>
        </w:rPr>
        <w:t>Application.</w:t>
      </w:r>
      <w:r w:rsidRPr="00796F52">
        <w:t xml:space="preserve"> Within NATO, interoperability work is distributed across drafting, technical panels</w:t>
      </w:r>
      <w:r>
        <w:t>,</w:t>
      </w:r>
      <w:r w:rsidRPr="00796F52">
        <w:t xml:space="preserve"> and negotiation with national delegations, and the same standard is different in each</w:t>
      </w:r>
      <w:r>
        <w:t xml:space="preserve">. </w:t>
      </w:r>
      <w:r w:rsidRPr="00796F52">
        <w:t xml:space="preserve">I can contrast standards member states adopt against those </w:t>
      </w:r>
      <w:r>
        <w:t>in the process or ignored</w:t>
      </w:r>
      <w:r w:rsidRPr="00796F52">
        <w:t xml:space="preserve">. Within DG HOME, </w:t>
      </w:r>
      <w:r>
        <w:t xml:space="preserve">the interoperability agenda is </w:t>
      </w:r>
      <w:r w:rsidR="006A0869">
        <w:t>fairly</w:t>
      </w:r>
      <w:r>
        <w:t xml:space="preserve"> standard, but its conception and </w:t>
      </w:r>
      <w:r w:rsidR="000D6D23">
        <w:t>use</w:t>
      </w:r>
      <w:r>
        <w:t xml:space="preserve"> </w:t>
      </w:r>
      <w:r w:rsidR="006A0869">
        <w:t>vary</w:t>
      </w:r>
      <w:r>
        <w:t xml:space="preserve"> across field sites. eu-LISA </w:t>
      </w:r>
      <w:r w:rsidR="006A0869">
        <w:t>produces</w:t>
      </w:r>
      <w:r>
        <w:t xml:space="preserve"> and maintain</w:t>
      </w:r>
      <w:r w:rsidR="006A0869">
        <w:t>s</w:t>
      </w:r>
      <w:r>
        <w:t xml:space="preserve"> the technical infrastructure, while MSs, Europol, and FRONTEX use it for their operations. Comparing their perspectives, approaches, and use of these technical systems will help me understand all my RQs</w:t>
      </w:r>
      <w:r w:rsidR="006A0869">
        <w:t>,</w:t>
      </w:r>
      <w:r>
        <w:t xml:space="preserve"> like how experts think about individual rights (sub-question 4). </w:t>
      </w:r>
    </w:p>
    <w:p w14:paraId="65D8E1A8" w14:textId="77777777" w:rsidR="007D555E" w:rsidRPr="00E50338" w:rsidRDefault="007D555E" w:rsidP="007D555E">
      <w:pPr>
        <w:spacing w:before="100" w:beforeAutospacing="1" w:after="100" w:afterAutospacing="1"/>
        <w:rPr>
          <w:i/>
          <w:iCs/>
        </w:rPr>
      </w:pPr>
      <w:r w:rsidRPr="00E50338">
        <w:rPr>
          <w:i/>
          <w:iCs/>
        </w:rPr>
        <w:t>Comparison between cases</w:t>
      </w:r>
    </w:p>
    <w:p w14:paraId="4C55DFE5" w14:textId="20B19613" w:rsidR="007D555E" w:rsidRPr="00796F52" w:rsidRDefault="007D555E" w:rsidP="007D555E">
      <w:pPr>
        <w:spacing w:before="100" w:beforeAutospacing="1" w:after="100" w:afterAutospacing="1"/>
      </w:pPr>
      <w:r w:rsidRPr="00796F52">
        <w:t xml:space="preserve">Simmons and Smith define comparative ethnography as research that explicitly builds an argument by </w:t>
      </w:r>
      <w:r w:rsidR="006A0869">
        <w:t>mov</w:t>
      </w:r>
      <w:r w:rsidRPr="00796F52">
        <w:t>ing back and forth between two or more cases to identify similarities and differences in processes, meanings, concepts</w:t>
      </w:r>
      <w:r>
        <w:t>,</w:t>
      </w:r>
      <w:r w:rsidRPr="00796F52">
        <w:t xml:space="preserve"> or events. Four of their advantages apply </w:t>
      </w:r>
      <w:r w:rsidR="006A0869">
        <w:t xml:space="preserve">directly </w:t>
      </w:r>
      <w:r>
        <w:t>to my study</w:t>
      </w:r>
      <w:r w:rsidRPr="00796F52">
        <w:t xml:space="preserve">. First, comparison </w:t>
      </w:r>
      <w:r>
        <w:t>tests</w:t>
      </w:r>
      <w:r w:rsidRPr="00796F52">
        <w:t xml:space="preserve"> </w:t>
      </w:r>
      <w:r w:rsidR="006A0869">
        <w:t>word</w:t>
      </w:r>
      <w:r>
        <w:t xml:space="preserve"> </w:t>
      </w:r>
      <w:r w:rsidR="006A0869">
        <w:t>meaning</w:t>
      </w:r>
      <w:r>
        <w:t xml:space="preserve">s. </w:t>
      </w:r>
      <w:r w:rsidRPr="00796F52">
        <w:t xml:space="preserve">Schaffer found that Senegalese speakers meant substantially different things by </w:t>
      </w:r>
      <w:r w:rsidRPr="008D3796">
        <w:t>démocratie</w:t>
      </w:r>
      <w:r w:rsidRPr="00796F52">
        <w:t xml:space="preserve"> and </w:t>
      </w:r>
      <w:r w:rsidRPr="008D3796">
        <w:t>demokaraasi</w:t>
      </w:r>
      <w:r w:rsidRPr="00796F52">
        <w:t xml:space="preserve">, and used the pair reflexively against the English concept. Interoperability is the same kind of object, a word traveling between </w:t>
      </w:r>
      <w:r w:rsidR="00063FC2">
        <w:t>EU</w:t>
      </w:r>
      <w:r w:rsidRPr="00796F52">
        <w:t xml:space="preserve"> and NATO and read by two literatures that have never met. Second, it establishes breadth</w:t>
      </w:r>
      <w:r>
        <w:t xml:space="preserve">. </w:t>
      </w:r>
      <w:r w:rsidRPr="00796F52">
        <w:t>Autesserre's fieldwork across nine countries showed that the practices producing peacekeeping failure were general rather than local. If the same narratives and workarounds appear in both a centrali</w:t>
      </w:r>
      <w:r>
        <w:t>z</w:t>
      </w:r>
      <w:r w:rsidRPr="00796F52">
        <w:t>ed civilian architecture and a federated military one, they are not art</w:t>
      </w:r>
      <w:r>
        <w:t>i</w:t>
      </w:r>
      <w:r w:rsidRPr="00796F52">
        <w:t>facts of EU migration control</w:t>
      </w:r>
      <w:r>
        <w:t xml:space="preserve"> but broader themes of interoperability as a technology in itself</w:t>
      </w:r>
      <w:r w:rsidRPr="00796F52">
        <w:t>. Third, it guards against reading one context as representative of a larger entity</w:t>
      </w:r>
      <w:r>
        <w:t>,</w:t>
      </w:r>
      <w:r w:rsidRPr="00796F52">
        <w:t xml:space="preserve"> </w:t>
      </w:r>
      <w:r>
        <w:t xml:space="preserve">as comparative similarities work across cases </w:t>
      </w:r>
      <w:r w:rsidRPr="00796F52">
        <w:t>(Klinenberg</w:t>
      </w:r>
      <w:r>
        <w:t xml:space="preserve">). </w:t>
      </w:r>
      <w:r w:rsidRPr="00796F52">
        <w:t xml:space="preserve">Fourth, it can </w:t>
      </w:r>
      <w:r>
        <w:t xml:space="preserve">shine a new light onto the kind of phenomenon that is being observed in the first place, in this case interoperability. </w:t>
      </w:r>
      <w:r w:rsidR="00063FC2">
        <w:t>For</w:t>
      </w:r>
      <w:r>
        <w:t xml:space="preserve"> ex</w:t>
      </w:r>
      <w:r w:rsidR="00063FC2">
        <w:t>ample</w:t>
      </w:r>
      <w:r>
        <w:t>, Small found, by c</w:t>
      </w:r>
      <w:r w:rsidRPr="00796F52">
        <w:t xml:space="preserve">omparing the neighborhood involvement of different generations in one Boston barrio, </w:t>
      </w:r>
      <w:r>
        <w:t xml:space="preserve">that </w:t>
      </w:r>
      <w:r w:rsidRPr="00796F52">
        <w:t xml:space="preserve">social capital </w:t>
      </w:r>
      <w:r>
        <w:lastRenderedPageBreak/>
        <w:t xml:space="preserve">takes different shapes </w:t>
      </w:r>
      <w:r w:rsidR="00063FC2">
        <w:t>across</w:t>
      </w:r>
      <w:r>
        <w:t xml:space="preserve"> generations. For older residents, it is about local </w:t>
      </w:r>
      <w:r w:rsidR="006A0869">
        <w:t>associations, while younger ones built networks across neighborhoods; thus, living in a bad neighborhood affects the loneliness</w:t>
      </w:r>
      <w:r>
        <w:t xml:space="preserve"> of older generations more than the youth. This new view of </w:t>
      </w:r>
      <w:r w:rsidR="006A0869">
        <w:t>social capital only took shape through comparison, looking beyond the single-case</w:t>
      </w:r>
      <w:r>
        <w:t xml:space="preserve"> view of ‘residents.’ This is exactly what my comparison seek</w:t>
      </w:r>
      <w:r w:rsidR="006A0869">
        <w:t>s</w:t>
      </w:r>
      <w:r>
        <w:t xml:space="preserve"> to investigate: w</w:t>
      </w:r>
      <w:r w:rsidRPr="00796F52">
        <w:t>hether infrastructural power is similarly two things under centrali</w:t>
      </w:r>
      <w:r>
        <w:t>z</w:t>
      </w:r>
      <w:r w:rsidRPr="00796F52">
        <w:t>ed and federated architecture</w:t>
      </w:r>
      <w:r>
        <w:t>.</w:t>
      </w:r>
    </w:p>
    <w:p w14:paraId="157B2352" w14:textId="26F80277" w:rsidR="007D555E" w:rsidRPr="00796F52" w:rsidRDefault="007D555E" w:rsidP="007D555E">
      <w:pPr>
        <w:spacing w:before="100" w:beforeAutospacing="1" w:after="100" w:afterAutospacing="1"/>
      </w:pPr>
      <w:r>
        <w:t xml:space="preserve">Comparison in the ethnographic case </w:t>
      </w:r>
      <w:r w:rsidRPr="00796F52">
        <w:t>is process- and meaning-driven rather than organi</w:t>
      </w:r>
      <w:r w:rsidR="006A0869">
        <w:t>z</w:t>
      </w:r>
      <w:r w:rsidRPr="00796F52">
        <w:t xml:space="preserve">ed around control and </w:t>
      </w:r>
      <w:r w:rsidR="006A0869">
        <w:t>outcome</w:t>
      </w:r>
      <w:r w:rsidRPr="00796F52">
        <w:t xml:space="preserve"> </w:t>
      </w:r>
      <w:r w:rsidR="006A0869">
        <w:t>variation</w:t>
      </w:r>
      <w:r w:rsidRPr="00796F52">
        <w:t>. Cases can be processes or concepts</w:t>
      </w:r>
      <w:r>
        <w:t>;</w:t>
      </w:r>
      <w:r w:rsidRPr="00796F52">
        <w:t xml:space="preserve"> </w:t>
      </w:r>
      <w:r>
        <w:t>they are</w:t>
      </w:r>
      <w:r w:rsidRPr="00796F52">
        <w:t xml:space="preserve"> not fixed in </w:t>
      </w:r>
      <w:r>
        <w:t>advance, nor do they use positivist ideas that dissociate outcomes from process.</w:t>
      </w:r>
      <w:r w:rsidRPr="00796F52">
        <w:t xml:space="preserve"> Wedeen's account of Yemeni nationalism </w:t>
      </w:r>
      <w:r>
        <w:t>demonstrates</w:t>
      </w:r>
      <w:r w:rsidRPr="00796F52">
        <w:t xml:space="preserve"> </w:t>
      </w:r>
      <w:r>
        <w:t>this</w:t>
      </w:r>
      <w:r w:rsidRPr="00796F52">
        <w:t xml:space="preserve">. She compares three apparently unrelated events </w:t>
      </w:r>
      <w:r>
        <w:t>-</w:t>
      </w:r>
      <w:r w:rsidRPr="00796F52">
        <w:t>a presidential election, a unification anniversary, and the prosecution of the country's first serial killer</w:t>
      </w:r>
      <w:r>
        <w:t>-</w:t>
      </w:r>
      <w:r w:rsidRPr="00796F52">
        <w:t xml:space="preserve"> selecting only positive cases, and the argument holds because those events turn out to work in similar ways. This </w:t>
      </w:r>
      <w:r>
        <w:t>addresses</w:t>
      </w:r>
      <w:r w:rsidRPr="00796F52">
        <w:t xml:space="preserve"> the objection that NATO and DG HOME are too dissimilar to compare. Marcus (1995) adds that multi-sited comparison juxtaposes phenomena conventionally kept worlds apart</w:t>
      </w:r>
      <w:r>
        <w:t xml:space="preserve">. </w:t>
      </w:r>
      <w:r w:rsidRPr="00796F52">
        <w:t xml:space="preserve">I </w:t>
      </w:r>
      <w:r w:rsidR="006A0869">
        <w:t>us</w:t>
      </w:r>
      <w:r w:rsidRPr="00796F52">
        <w:t>e Marcus's tracing techniques</w:t>
      </w:r>
      <w:r>
        <w:t xml:space="preserve"> (</w:t>
      </w:r>
      <w:r w:rsidRPr="00796F52">
        <w:t>follow the thing,</w:t>
      </w:r>
      <w:r>
        <w:t xml:space="preserve"> the data infrastructure of interoperability, and</w:t>
      </w:r>
      <w:r w:rsidRPr="00796F52">
        <w:t xml:space="preserve"> follow the metaphor</w:t>
      </w:r>
      <w:r>
        <w:t>,</w:t>
      </w:r>
      <w:r w:rsidRPr="00796F52">
        <w:t xml:space="preserve"> </w:t>
      </w:r>
      <w:r>
        <w:t xml:space="preserve">how interoperability is sold in narratives) </w:t>
      </w:r>
      <w:r w:rsidRPr="00796F52">
        <w:t>to build each case, a</w:t>
      </w:r>
      <w:r w:rsidR="006A0869">
        <w:t>long with</w:t>
      </w:r>
      <w:r w:rsidRPr="00796F52">
        <w:t xml:space="preserve"> the comparative logic from Simmons and Smith.</w:t>
      </w:r>
    </w:p>
    <w:p w14:paraId="3FEC0C3D" w14:textId="072D87D3" w:rsidR="007D555E" w:rsidRDefault="007D555E" w:rsidP="00C473AE">
      <w:pPr>
        <w:spacing w:before="100" w:beforeAutospacing="1" w:after="100" w:afterAutospacing="1"/>
      </w:pPr>
      <w:r w:rsidRPr="00796F52">
        <w:rPr>
          <w:b/>
          <w:bCs/>
        </w:rPr>
        <w:t>Application.</w:t>
      </w:r>
      <w:r w:rsidRPr="00796F52">
        <w:t xml:space="preserve"> Both cases </w:t>
      </w:r>
      <w:r>
        <w:t>involve</w:t>
      </w:r>
      <w:r w:rsidRPr="00796F52">
        <w:t xml:space="preserve"> building interoperability across sovereign data holders. </w:t>
      </w:r>
      <w:r>
        <w:t>T</w:t>
      </w:r>
      <w:r w:rsidRPr="00796F52">
        <w:t>he EU case</w:t>
      </w:r>
      <w:r>
        <w:t xml:space="preserve"> is</w:t>
      </w:r>
      <w:r w:rsidRPr="00796F52">
        <w:t xml:space="preserve"> centrali</w:t>
      </w:r>
      <w:r w:rsidR="006A0869">
        <w:t>z</w:t>
      </w:r>
      <w:r w:rsidRPr="00796F52">
        <w:t>ed and agency-operated, NATO's federated and voluntarily adopted. The comparison proceeds along the four dimensions set out in the project description, which I expect to revise as fieldwork proceeds.</w:t>
      </w:r>
    </w:p>
    <w:p w14:paraId="5D9E6623" w14:textId="77777777" w:rsidR="007D555E" w:rsidRDefault="007D555E" w:rsidP="007D555E"/>
    <w:p w14:paraId="20C12EB9" w14:textId="77777777" w:rsidR="007D555E" w:rsidRPr="001A60A8" w:rsidRDefault="007D555E" w:rsidP="007D555E">
      <w:pPr>
        <w:rPr>
          <w:b/>
          <w:bCs/>
        </w:rPr>
      </w:pPr>
      <w:r>
        <w:rPr>
          <w:b/>
          <w:bCs/>
        </w:rPr>
        <w:t>Practicalities</w:t>
      </w:r>
    </w:p>
    <w:p w14:paraId="2E2A392A" w14:textId="77777777" w:rsidR="007D555E" w:rsidRDefault="007D555E" w:rsidP="007D555E">
      <w:pPr>
        <w:spacing w:before="100" w:beforeAutospacing="1" w:after="100" w:afterAutospacing="1"/>
      </w:pPr>
      <w:r w:rsidRPr="001A60A8">
        <w:t>This section sets out the practical data sources this project draws on to answer the research questions, and the analytic logic used to move from raw material to findings.</w:t>
      </w:r>
    </w:p>
    <w:p w14:paraId="24DFBE73" w14:textId="77777777" w:rsidR="007D555E" w:rsidRDefault="007D555E" w:rsidP="007D555E">
      <w:pPr>
        <w:spacing w:before="100" w:beforeAutospacing="1" w:after="100" w:afterAutospacing="1"/>
      </w:pPr>
      <w:r>
        <w:t xml:space="preserve">I will conduct semi-structured expert interviews with practitioners inside NATO and the EU who have direct experience of the processes I study. Experts are targeted because they are embedded in the settings under study and so hold practical, first-hand knowledge of how things actually happen there (Bogner et al. 2009). They provide access to the </w:t>
      </w:r>
      <w:r w:rsidRPr="00274EAA">
        <w:rPr>
          <w:rStyle w:val="Emphasis"/>
          <w:i w:val="0"/>
          <w:iCs w:val="0"/>
        </w:rPr>
        <w:t>insider perspective</w:t>
      </w:r>
      <w:r>
        <w:t>, meaning the tacit reasoning, informal deliberation, and internal disagreement that sit behind a decision but rarely survive into the official record (Lareau 2021). The interviews will be long-form, around sixty to ninety minutes, giving enough room for an expert's account of how they perceive the institutional world they are part of (Bryman 2016; Adams 2015; Aberbach and Rockman 2002). I will conduct open-ended, semi-structured interviews, as they give experts room to set their own terms. This makes them more likely to surface details and examples I would not have thought to ask about (Aberbach and Rockman 2002). With that said, I will keep a shared core set of questions to allow comparison across the interviewed experts.</w:t>
      </w:r>
    </w:p>
    <w:p w14:paraId="369A127A" w14:textId="107E13D4" w:rsidR="007D555E" w:rsidRDefault="007D555E" w:rsidP="007D555E">
      <w:pPr>
        <w:spacing w:before="100" w:beforeAutospacing="1" w:after="100" w:afterAutospacing="1"/>
      </w:pPr>
      <w:r>
        <w:t>Document analysis is the second form of data gathering. It i</w:t>
      </w:r>
      <w:r w:rsidR="006A0869">
        <w:t>nvolves</w:t>
      </w:r>
      <w:r>
        <w:t xml:space="preserve"> s</w:t>
      </w:r>
      <w:r w:rsidRPr="001A60A8">
        <w:t>ystematic</w:t>
      </w:r>
      <w:r w:rsidR="006A0869">
        <w:t>ally</w:t>
      </w:r>
      <w:r w:rsidRPr="001A60A8">
        <w:t xml:space="preserve"> reading parliamentary debates, policy documents, records of expert and technical debate, and technical standards produced by or about NATO and the EU. Where interviews access </w:t>
      </w:r>
      <w:r w:rsidR="006A0869">
        <w:t>insiders'</w:t>
      </w:r>
      <w:r w:rsidRPr="001A60A8">
        <w:t xml:space="preserve"> reasoning, documents capture the opposite: how the organization presents itself outwardly, in its own cleared, official language</w:t>
      </w:r>
      <w:r>
        <w:t xml:space="preserve"> </w:t>
      </w:r>
      <w:r w:rsidRPr="00AE43B1">
        <w:rPr>
          <w:color w:val="000000" w:themeColor="text1"/>
        </w:rPr>
        <w:t>(N</w:t>
      </w:r>
      <w:r w:rsidR="006A0869">
        <w:rPr>
          <w:color w:val="000000" w:themeColor="text1"/>
        </w:rPr>
        <w:t>ATO</w:t>
      </w:r>
      <w:r w:rsidRPr="00AE43B1">
        <w:rPr>
          <w:color w:val="000000" w:themeColor="text1"/>
        </w:rPr>
        <w:t>, 2020)</w:t>
      </w:r>
      <w:r w:rsidRPr="001A60A8">
        <w:t xml:space="preserve">. </w:t>
      </w:r>
      <w:r>
        <w:t>D</w:t>
      </w:r>
      <w:r w:rsidRPr="001A60A8">
        <w:t xml:space="preserve">ocuments are drafted and </w:t>
      </w:r>
      <w:r w:rsidRPr="001A60A8">
        <w:lastRenderedPageBreak/>
        <w:t>released for an audience</w:t>
      </w:r>
      <w:r>
        <w:t xml:space="preserve">. This </w:t>
      </w:r>
      <w:r w:rsidR="006A0869">
        <w:t>shows</w:t>
      </w:r>
      <w:r>
        <w:t xml:space="preserve"> how they seek to present themselves and </w:t>
      </w:r>
      <w:r w:rsidR="006A0869">
        <w:t>highlights</w:t>
      </w:r>
      <w:r>
        <w:t xml:space="preserve"> the gap or overlap between </w:t>
      </w:r>
      <w:r w:rsidRPr="001A60A8">
        <w:t>how NATO and the EU explain and justify themselves in public and what interviews and field observation suggest is actually happening inside.</w:t>
      </w:r>
      <w:r>
        <w:t xml:space="preserve"> </w:t>
      </w:r>
    </w:p>
    <w:p w14:paraId="4FC39DD9" w14:textId="47ED3884" w:rsidR="007D555E" w:rsidRPr="001A60A8" w:rsidRDefault="007D555E" w:rsidP="007D555E">
      <w:pPr>
        <w:spacing w:before="100" w:beforeAutospacing="1" w:after="100" w:afterAutospacing="1"/>
      </w:pPr>
      <w:r>
        <w:t xml:space="preserve">The final source of information </w:t>
      </w:r>
      <w:r w:rsidR="006A0869">
        <w:t>is</w:t>
      </w:r>
      <w:r>
        <w:t xml:space="preserve"> products of my hybrid ethnography, field notes and field diaries. </w:t>
      </w:r>
      <w:r w:rsidRPr="001A60A8">
        <w:t>Field notes record the daily workings of NATO</w:t>
      </w:r>
      <w:r>
        <w:t xml:space="preserve"> and EU institutions</w:t>
      </w:r>
      <w:r w:rsidRPr="001A60A8">
        <w:t xml:space="preserve"> as I observe them</w:t>
      </w:r>
      <w:r>
        <w:t xml:space="preserve">. This means </w:t>
      </w:r>
      <w:r w:rsidRPr="001A60A8">
        <w:t xml:space="preserve">routines, meetings, informal exchanges, and the occasional scene worth a fuller, thick description (Geertz 1973, as discussed in Brannen 2011). This is </w:t>
      </w:r>
      <w:r>
        <w:t xml:space="preserve">comparable to </w:t>
      </w:r>
      <w:r w:rsidRPr="001A60A8">
        <w:t xml:space="preserve">Seim's (2024) </w:t>
      </w:r>
      <w:r w:rsidRPr="00CA0F86">
        <w:t>participant observation</w:t>
      </w:r>
      <w:r>
        <w:t xml:space="preserve">, where the </w:t>
      </w:r>
      <w:r w:rsidRPr="001A60A8">
        <w:t xml:space="preserve">gaze </w:t>
      </w:r>
      <w:r>
        <w:t>is on the side, a fly on the wall. S</w:t>
      </w:r>
      <w:r w:rsidRPr="001A60A8">
        <w:t xml:space="preserve">o even though I am writing from inside the organization, notes remain the insider view refracted through my position as an observing </w:t>
      </w:r>
      <w:r>
        <w:t>researcher</w:t>
      </w:r>
      <w:r w:rsidRPr="001A60A8">
        <w:t>, not a record of my own experience.</w:t>
      </w:r>
    </w:p>
    <w:p w14:paraId="1E8B6B45" w14:textId="2FD585D1" w:rsidR="007D555E" w:rsidRDefault="007D555E" w:rsidP="007D555E">
      <w:pPr>
        <w:spacing w:before="100" w:beforeAutospacing="1" w:after="100" w:afterAutospacing="1"/>
      </w:pPr>
      <w:r w:rsidRPr="001A60A8">
        <w:t>The field diary turns the gaze inward</w:t>
      </w:r>
      <w:r>
        <w:t>. It looks at h</w:t>
      </w:r>
      <w:r w:rsidRPr="001A60A8">
        <w:t>ow I experience and adapt to the environment I am embedded in, and what that does to my judgment</w:t>
      </w:r>
      <w:r>
        <w:t>. This is comparable to</w:t>
      </w:r>
      <w:r w:rsidRPr="001A60A8">
        <w:t xml:space="preserve"> Seim's (2024) </w:t>
      </w:r>
      <w:r>
        <w:t xml:space="preserve">perspective on </w:t>
      </w:r>
      <w:r w:rsidRPr="00CA0F86">
        <w:t>observant participation</w:t>
      </w:r>
      <w:r w:rsidRPr="001A60A8">
        <w:t>. Concretely, this includes how my own written work gets reviewed and corrected inside NATO</w:t>
      </w:r>
      <w:r>
        <w:t xml:space="preserve">. </w:t>
      </w:r>
      <w:r w:rsidR="006A0869">
        <w:t>T</w:t>
      </w:r>
      <w:r w:rsidRPr="001A60A8">
        <w:t>hose corrections are data in their own right, since they expose where my framing crossed an unstated boundary of what counts as acceptable, and so reveal institutional norms from the inside of my own participation, not just from watching others navigate them. Kept as separate documents, notes and diary can later be read against each other</w:t>
      </w:r>
      <w:r>
        <w:t>. Therefore,</w:t>
      </w:r>
      <w:r w:rsidRPr="001A60A8">
        <w:t xml:space="preserve"> each compensates for what the other tends to miss (Seim 2024).</w:t>
      </w:r>
    </w:p>
    <w:p w14:paraId="659EFCF2" w14:textId="77777777" w:rsidR="007D555E" w:rsidRDefault="007D555E" w:rsidP="007D555E">
      <w:pPr>
        <w:spacing w:before="100" w:beforeAutospacing="1" w:after="100" w:afterAutospacing="1"/>
      </w:pPr>
      <w:r>
        <w:t>Table 1: Summary of Sources of data</w:t>
      </w:r>
    </w:p>
    <w:tbl>
      <w:tblPr>
        <w:tblStyle w:val="TableGrid"/>
        <w:tblW w:w="9067" w:type="dxa"/>
        <w:tblLook w:val="04A0" w:firstRow="1" w:lastRow="0" w:firstColumn="1" w:lastColumn="0" w:noHBand="0" w:noVBand="1"/>
      </w:tblPr>
      <w:tblGrid>
        <w:gridCol w:w="2254"/>
        <w:gridCol w:w="3270"/>
        <w:gridCol w:w="3543"/>
      </w:tblGrid>
      <w:tr w:rsidR="007D555E" w14:paraId="3AA1CAD3" w14:textId="77777777" w:rsidTr="00A02670">
        <w:tc>
          <w:tcPr>
            <w:tcW w:w="2254" w:type="dxa"/>
          </w:tcPr>
          <w:p w14:paraId="1F5AC9AD" w14:textId="77777777" w:rsidR="007D555E" w:rsidRPr="00913B26" w:rsidRDefault="007D555E" w:rsidP="00A02670">
            <w:pPr>
              <w:spacing w:before="100" w:beforeAutospacing="1" w:after="100" w:afterAutospacing="1"/>
              <w:rPr>
                <w:b/>
                <w:bCs/>
              </w:rPr>
            </w:pPr>
            <w:r w:rsidRPr="00913B26">
              <w:rPr>
                <w:b/>
                <w:bCs/>
              </w:rPr>
              <w:t>Data Sources</w:t>
            </w:r>
          </w:p>
        </w:tc>
        <w:tc>
          <w:tcPr>
            <w:tcW w:w="3270" w:type="dxa"/>
          </w:tcPr>
          <w:p w14:paraId="78F7ABB0" w14:textId="77777777" w:rsidR="007D555E" w:rsidRPr="00913B26" w:rsidRDefault="007D555E" w:rsidP="00A02670">
            <w:pPr>
              <w:spacing w:before="100" w:beforeAutospacing="1" w:after="100" w:afterAutospacing="1"/>
              <w:rPr>
                <w:b/>
                <w:bCs/>
              </w:rPr>
            </w:pPr>
            <w:r w:rsidRPr="00913B26">
              <w:rPr>
                <w:b/>
                <w:bCs/>
              </w:rPr>
              <w:t>Vantage Point</w:t>
            </w:r>
          </w:p>
        </w:tc>
        <w:tc>
          <w:tcPr>
            <w:tcW w:w="3543" w:type="dxa"/>
          </w:tcPr>
          <w:p w14:paraId="508287D5" w14:textId="77777777" w:rsidR="007D555E" w:rsidRPr="00913B26" w:rsidRDefault="007D555E" w:rsidP="00A02670">
            <w:pPr>
              <w:spacing w:before="100" w:beforeAutospacing="1" w:after="100" w:afterAutospacing="1"/>
              <w:rPr>
                <w:b/>
                <w:bCs/>
              </w:rPr>
            </w:pPr>
            <w:r w:rsidRPr="00913B26">
              <w:rPr>
                <w:b/>
                <w:bCs/>
              </w:rPr>
              <w:t>Practicalities</w:t>
            </w:r>
          </w:p>
        </w:tc>
      </w:tr>
      <w:tr w:rsidR="007D555E" w14:paraId="1EFC21B9" w14:textId="77777777" w:rsidTr="00A02670">
        <w:tc>
          <w:tcPr>
            <w:tcW w:w="2254" w:type="dxa"/>
          </w:tcPr>
          <w:p w14:paraId="6BEECF53" w14:textId="77777777" w:rsidR="007D555E" w:rsidRDefault="007D555E" w:rsidP="00A02670">
            <w:pPr>
              <w:spacing w:before="100" w:beforeAutospacing="1" w:after="100" w:afterAutospacing="1"/>
            </w:pPr>
            <w:r>
              <w:t>Expert Interviews</w:t>
            </w:r>
          </w:p>
        </w:tc>
        <w:tc>
          <w:tcPr>
            <w:tcW w:w="3270" w:type="dxa"/>
          </w:tcPr>
          <w:p w14:paraId="439498B7" w14:textId="77777777" w:rsidR="007D555E" w:rsidRDefault="007D555E" w:rsidP="00A02670">
            <w:pPr>
              <w:spacing w:before="100" w:beforeAutospacing="1" w:after="100" w:afterAutospacing="1"/>
            </w:pPr>
            <w:r>
              <w:t>Insider reasoning. The tacit logic, deliberation, and disagreement behind a decision</w:t>
            </w:r>
          </w:p>
        </w:tc>
        <w:tc>
          <w:tcPr>
            <w:tcW w:w="3543" w:type="dxa"/>
          </w:tcPr>
          <w:p w14:paraId="36B37E2C" w14:textId="77777777" w:rsidR="007D555E" w:rsidRDefault="007D555E" w:rsidP="00A02670">
            <w:pPr>
              <w:spacing w:before="100" w:beforeAutospacing="1" w:after="100" w:afterAutospacing="1"/>
            </w:pPr>
            <w:r>
              <w:t>Semi-structured, 60–90 min, shared core questions across experts</w:t>
            </w:r>
          </w:p>
        </w:tc>
      </w:tr>
      <w:tr w:rsidR="007D555E" w14:paraId="6F3B991A" w14:textId="77777777" w:rsidTr="00A02670">
        <w:tc>
          <w:tcPr>
            <w:tcW w:w="2254" w:type="dxa"/>
          </w:tcPr>
          <w:p w14:paraId="49A6717A" w14:textId="77777777" w:rsidR="007D555E" w:rsidRDefault="007D555E" w:rsidP="00A02670">
            <w:pPr>
              <w:spacing w:before="100" w:beforeAutospacing="1" w:after="100" w:afterAutospacing="1"/>
            </w:pPr>
            <w:r>
              <w:t>Document Analysis</w:t>
            </w:r>
          </w:p>
        </w:tc>
        <w:tc>
          <w:tcPr>
            <w:tcW w:w="3270" w:type="dxa"/>
          </w:tcPr>
          <w:p w14:paraId="115C22CD" w14:textId="77777777" w:rsidR="007D555E" w:rsidRDefault="007D555E" w:rsidP="00A02670">
            <w:pPr>
              <w:spacing w:before="100" w:beforeAutospacing="1" w:after="100" w:afterAutospacing="1"/>
            </w:pPr>
            <w:r>
              <w:t>The organization's outward self-presentation</w:t>
            </w:r>
          </w:p>
        </w:tc>
        <w:tc>
          <w:tcPr>
            <w:tcW w:w="3543" w:type="dxa"/>
          </w:tcPr>
          <w:p w14:paraId="16AFBEE8" w14:textId="77777777" w:rsidR="007D555E" w:rsidRDefault="007D555E" w:rsidP="00A02670">
            <w:pPr>
              <w:spacing w:before="100" w:beforeAutospacing="1" w:after="100" w:afterAutospacing="1"/>
            </w:pPr>
            <w:r>
              <w:t>Parliamentary debates, policy documents, expert/technical debate records, technical standards</w:t>
            </w:r>
          </w:p>
        </w:tc>
      </w:tr>
      <w:tr w:rsidR="007D555E" w14:paraId="0A5883A9" w14:textId="77777777" w:rsidTr="00A02670">
        <w:tc>
          <w:tcPr>
            <w:tcW w:w="2254" w:type="dxa"/>
          </w:tcPr>
          <w:p w14:paraId="5C6D7DF1" w14:textId="77777777" w:rsidR="007D555E" w:rsidRDefault="007D555E" w:rsidP="00A02670">
            <w:pPr>
              <w:spacing w:before="100" w:beforeAutospacing="1" w:after="100" w:afterAutospacing="1"/>
            </w:pPr>
            <w:r>
              <w:t>Field Notes</w:t>
            </w:r>
          </w:p>
        </w:tc>
        <w:tc>
          <w:tcPr>
            <w:tcW w:w="3270" w:type="dxa"/>
          </w:tcPr>
          <w:p w14:paraId="6F857E5C" w14:textId="77777777" w:rsidR="007D555E" w:rsidRDefault="007D555E" w:rsidP="00A02670">
            <w:pPr>
              <w:spacing w:before="100" w:beforeAutospacing="1" w:after="100" w:afterAutospacing="1"/>
            </w:pPr>
            <w:r>
              <w:t xml:space="preserve">Insider view from an observer perpestive </w:t>
            </w:r>
          </w:p>
        </w:tc>
        <w:tc>
          <w:tcPr>
            <w:tcW w:w="3543" w:type="dxa"/>
          </w:tcPr>
          <w:p w14:paraId="6F4D7A44" w14:textId="77777777" w:rsidR="007D555E" w:rsidRDefault="007D555E" w:rsidP="00A02670">
            <w:pPr>
              <w:spacing w:before="100" w:beforeAutospacing="1" w:after="100" w:afterAutospacing="1"/>
            </w:pPr>
            <w:r>
              <w:t>Thick description of daily routines, meetings, informal exchanges, telling scenes</w:t>
            </w:r>
          </w:p>
        </w:tc>
      </w:tr>
      <w:tr w:rsidR="007D555E" w14:paraId="05D74B77" w14:textId="77777777" w:rsidTr="00A02670">
        <w:tc>
          <w:tcPr>
            <w:tcW w:w="2254" w:type="dxa"/>
          </w:tcPr>
          <w:p w14:paraId="00BF8EBD" w14:textId="77777777" w:rsidR="007D555E" w:rsidRDefault="007D555E" w:rsidP="00A02670">
            <w:pPr>
              <w:spacing w:before="100" w:beforeAutospacing="1" w:after="100" w:afterAutospacing="1"/>
            </w:pPr>
            <w:r>
              <w:t>Field Diary</w:t>
            </w:r>
          </w:p>
        </w:tc>
        <w:tc>
          <w:tcPr>
            <w:tcW w:w="3270" w:type="dxa"/>
          </w:tcPr>
          <w:p w14:paraId="4FD39FCF" w14:textId="77777777" w:rsidR="007D555E" w:rsidRDefault="007D555E" w:rsidP="00A02670">
            <w:pPr>
              <w:spacing w:before="100" w:beforeAutospacing="1" w:after="100" w:afterAutospacing="1"/>
            </w:pPr>
            <w:r>
              <w:t xml:space="preserve">Insider view from participating in the organisation of study. </w:t>
            </w:r>
          </w:p>
        </w:tc>
        <w:tc>
          <w:tcPr>
            <w:tcW w:w="3543" w:type="dxa"/>
          </w:tcPr>
          <w:p w14:paraId="04A6960E" w14:textId="77777777" w:rsidR="007D555E" w:rsidRDefault="007D555E" w:rsidP="00A02670">
            <w:pPr>
              <w:spacing w:before="100" w:beforeAutospacing="1" w:after="100" w:afterAutospacing="1"/>
            </w:pPr>
            <w:r>
              <w:t>Own position, adaptation, and noticed biases through reflexive logic</w:t>
            </w:r>
          </w:p>
        </w:tc>
      </w:tr>
    </w:tbl>
    <w:p w14:paraId="2F76C66F" w14:textId="77777777" w:rsidR="007D555E" w:rsidRDefault="007D555E" w:rsidP="007D555E">
      <w:pPr>
        <w:spacing w:before="100" w:beforeAutospacing="1" w:after="100" w:afterAutospacing="1"/>
      </w:pPr>
    </w:p>
    <w:p w14:paraId="7AA75E9F" w14:textId="77777777" w:rsidR="007D555E" w:rsidRPr="00CA0F86" w:rsidRDefault="007D555E" w:rsidP="007D555E">
      <w:pPr>
        <w:spacing w:before="100" w:beforeAutospacing="1" w:after="100" w:afterAutospacing="1"/>
        <w:rPr>
          <w:i/>
          <w:iCs/>
        </w:rPr>
      </w:pPr>
      <w:r w:rsidRPr="00CA0F86">
        <w:rPr>
          <w:i/>
          <w:iCs/>
        </w:rPr>
        <w:t>Processing the Data</w:t>
      </w:r>
    </w:p>
    <w:p w14:paraId="01E5F2DA" w14:textId="16E1BF7E" w:rsidR="007D555E" w:rsidRDefault="007D555E" w:rsidP="007D555E">
      <w:pPr>
        <w:spacing w:before="100" w:beforeAutospacing="1" w:after="100" w:afterAutospacing="1"/>
      </w:pPr>
      <w:r>
        <w:t>With f</w:t>
      </w:r>
      <w:r w:rsidRPr="001A60A8">
        <w:t>ieldwork generat</w:t>
      </w:r>
      <w:r>
        <w:t xml:space="preserve">ing these </w:t>
      </w:r>
      <w:r w:rsidRPr="001A60A8">
        <w:t>four kinds of</w:t>
      </w:r>
      <w:r>
        <w:t xml:space="preserve"> observations, e</w:t>
      </w:r>
      <w:r w:rsidRPr="001A60A8">
        <w:t xml:space="preserve">ach </w:t>
      </w:r>
      <w:r w:rsidR="006A0869">
        <w:t>of which has</w:t>
      </w:r>
      <w:r w:rsidRPr="001A60A8">
        <w:t xml:space="preserve"> a different vantage point on the same two organizations</w:t>
      </w:r>
      <w:r>
        <w:t>, all material will be coded with such biases in mind. I will</w:t>
      </w:r>
      <w:r w:rsidRPr="001A60A8">
        <w:t xml:space="preserve"> code </w:t>
      </w:r>
      <w:r w:rsidRPr="005837E0">
        <w:t>abductively</w:t>
      </w:r>
      <w:r w:rsidRPr="001A60A8">
        <w:t xml:space="preserve"> in MaxQDA</w:t>
      </w:r>
      <w:r>
        <w:t xml:space="preserve">. This means </w:t>
      </w:r>
      <w:r w:rsidR="006A0869">
        <w:t>codes are not fixed in advance or left to emerge purely from the data, but developed iteratively by</w:t>
      </w:r>
      <w:r w:rsidRPr="001A60A8">
        <w:t xml:space="preserve"> moving back and forth between emerging categories and the concepts driving the RQs, and revised as they are tested against new material (Lareau 2021). NATO and the EU are coded and analyzed separately at first, so categories can surface on each organization's own terms. They are then read against each </w:t>
      </w:r>
      <w:r w:rsidRPr="001A60A8">
        <w:lastRenderedPageBreak/>
        <w:t>other</w:t>
      </w:r>
      <w:r>
        <w:t>,</w:t>
      </w:r>
      <w:r w:rsidRPr="001A60A8">
        <w:t xml:space="preserve"> not as isolated cases but as institutionally entangled sites within European security governance (Desmond 2014)</w:t>
      </w:r>
      <w:r>
        <w:t>,</w:t>
      </w:r>
      <w:r w:rsidRPr="001A60A8">
        <w:t xml:space="preserve"> to see where the same themes recur, where they diverge, and why (Brannen 2011; Simmons and Smith 2019; Lichterman and Reed 2015).</w:t>
      </w:r>
    </w:p>
    <w:p w14:paraId="6DA236B0" w14:textId="77777777" w:rsidR="007D555E" w:rsidRDefault="007D555E" w:rsidP="007D555E"/>
    <w:p w14:paraId="0318DF33" w14:textId="77777777" w:rsidR="007D555E" w:rsidRDefault="007D555E" w:rsidP="007D555E">
      <w:r>
        <w:rPr>
          <w:noProof/>
          <w14:ligatures w14:val="standardContextual"/>
        </w:rPr>
        <w:drawing>
          <wp:inline distT="0" distB="0" distL="0" distR="0" wp14:anchorId="11EF9809" wp14:editId="2FA8492B">
            <wp:extent cx="5731510" cy="3213100"/>
            <wp:effectExtent l="0" t="0" r="0" b="0"/>
            <wp:docPr id="1878243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43134" name="Picture 187824313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13100"/>
                    </a:xfrm>
                    <a:prstGeom prst="rect">
                      <a:avLst/>
                    </a:prstGeom>
                  </pic:spPr>
                </pic:pic>
              </a:graphicData>
            </a:graphic>
          </wp:inline>
        </w:drawing>
      </w:r>
    </w:p>
    <w:p w14:paraId="6C376916" w14:textId="77777777" w:rsidR="007D555E" w:rsidRDefault="007D555E" w:rsidP="007D555E"/>
    <w:p w14:paraId="24C76EBA" w14:textId="77777777" w:rsidR="007D555E" w:rsidRPr="00913B26" w:rsidRDefault="007D555E" w:rsidP="007D555E">
      <w:pPr>
        <w:rPr>
          <w:i/>
          <w:iCs/>
        </w:rPr>
      </w:pPr>
      <w:r w:rsidRPr="00913B26">
        <w:rPr>
          <w:i/>
          <w:iCs/>
        </w:rPr>
        <w:t>Figure 1: The data</w:t>
      </w:r>
      <w:r>
        <w:rPr>
          <w:i/>
          <w:iCs/>
        </w:rPr>
        <w:t xml:space="preserve"> P</w:t>
      </w:r>
      <w:r w:rsidRPr="00913B26">
        <w:rPr>
          <w:i/>
          <w:iCs/>
        </w:rPr>
        <w:t>ipeline</w:t>
      </w:r>
    </w:p>
    <w:p w14:paraId="25628B93" w14:textId="77777777" w:rsidR="007D555E" w:rsidRDefault="007D555E" w:rsidP="00A14355">
      <w:pPr>
        <w:pStyle w:val="NormalWeb"/>
      </w:pPr>
    </w:p>
    <w:p w14:paraId="7099A50F" w14:textId="77777777" w:rsidR="007D555E" w:rsidRDefault="007D555E" w:rsidP="00A14355">
      <w:pPr>
        <w:pStyle w:val="NormalWeb"/>
      </w:pPr>
    </w:p>
    <w:p w14:paraId="251B8CD0" w14:textId="77777777" w:rsidR="007D555E" w:rsidRDefault="007D555E" w:rsidP="00A14355">
      <w:pPr>
        <w:pStyle w:val="NormalWeb"/>
      </w:pPr>
    </w:p>
    <w:p w14:paraId="6ECF69DB" w14:textId="77777777" w:rsidR="007D555E" w:rsidRPr="00A14355" w:rsidRDefault="007D555E" w:rsidP="00A14355">
      <w:pPr>
        <w:pStyle w:val="NormalWeb"/>
      </w:pPr>
    </w:p>
    <w:p w14:paraId="00465E10" w14:textId="78C06704" w:rsidR="00C473AE" w:rsidRDefault="00C473AE">
      <w:pPr>
        <w:spacing w:after="160" w:line="278" w:lineRule="auto"/>
      </w:pPr>
      <w:r>
        <w:br w:type="page"/>
      </w:r>
    </w:p>
    <w:p w14:paraId="083CFB98" w14:textId="77777777" w:rsidR="00525C96" w:rsidRDefault="00525C96" w:rsidP="00A14355"/>
    <w:p w14:paraId="372D2B8D" w14:textId="5ACB987F" w:rsidR="000B0789" w:rsidRDefault="000B0789" w:rsidP="00A14355">
      <w:pPr>
        <w:rPr>
          <w:b/>
          <w:bCs/>
        </w:rPr>
      </w:pPr>
      <w:r>
        <w:rPr>
          <w:b/>
          <w:bCs/>
        </w:rPr>
        <w:t>Bibliography</w:t>
      </w:r>
    </w:p>
    <w:p w14:paraId="2F6C7FB1" w14:textId="77777777" w:rsidR="000B0789" w:rsidRPr="000B0789" w:rsidRDefault="000B0789" w:rsidP="000B0789">
      <w:pPr>
        <w:pStyle w:val="Bibliography"/>
        <w:rPr>
          <w:rFonts w:ascii="Aptos"/>
          <w:lang w:val="en-GB"/>
        </w:rPr>
      </w:pPr>
      <w:r>
        <w:fldChar w:fldCharType="begin"/>
      </w:r>
      <w:r>
        <w:instrText xml:space="preserve"> ADDIN ZOTERO_BIBL {"uncited":[],"omitted":[],"custom":[]} CSL_BIBLIOGRAPHY </w:instrText>
      </w:r>
      <w:r>
        <w:fldChar w:fldCharType="separate"/>
      </w:r>
      <w:r w:rsidRPr="000B0789">
        <w:rPr>
          <w:rFonts w:ascii="Aptos"/>
          <w:lang w:val="en-GB"/>
        </w:rPr>
        <w:t xml:space="preserve">Aberbach, J. D., &amp; Rockman, B. A. (2002). Conducting and coding elite interviews. </w:t>
      </w:r>
      <w:r w:rsidRPr="000B0789">
        <w:rPr>
          <w:rFonts w:ascii="Aptos"/>
          <w:i/>
          <w:iCs/>
          <w:lang w:val="en-GB"/>
        </w:rPr>
        <w:t>PS: Political Science &amp; Politics</w:t>
      </w:r>
      <w:r w:rsidRPr="000B0789">
        <w:rPr>
          <w:rFonts w:ascii="Aptos"/>
          <w:lang w:val="en-GB"/>
        </w:rPr>
        <w:t xml:space="preserve">, </w:t>
      </w:r>
      <w:r w:rsidRPr="000B0789">
        <w:rPr>
          <w:rFonts w:ascii="Aptos"/>
          <w:i/>
          <w:iCs/>
          <w:lang w:val="en-GB"/>
        </w:rPr>
        <w:t>35</w:t>
      </w:r>
      <w:r w:rsidRPr="000B0789">
        <w:rPr>
          <w:rFonts w:ascii="Aptos"/>
          <w:lang w:val="en-GB"/>
        </w:rPr>
        <w:t>(4), 673</w:t>
      </w:r>
      <w:r w:rsidRPr="000B0789">
        <w:rPr>
          <w:rFonts w:ascii="Aptos"/>
          <w:lang w:val="en-GB"/>
        </w:rPr>
        <w:t>–</w:t>
      </w:r>
      <w:r w:rsidRPr="000B0789">
        <w:rPr>
          <w:rFonts w:ascii="Aptos"/>
          <w:lang w:val="en-GB"/>
        </w:rPr>
        <w:t>676.</w:t>
      </w:r>
    </w:p>
    <w:p w14:paraId="706B7400" w14:textId="77777777" w:rsidR="000B0789" w:rsidRPr="000B0789" w:rsidRDefault="000B0789" w:rsidP="000B0789">
      <w:pPr>
        <w:pStyle w:val="Bibliography"/>
        <w:rPr>
          <w:rFonts w:ascii="Aptos"/>
          <w:lang w:val="en-GB"/>
        </w:rPr>
      </w:pPr>
      <w:r w:rsidRPr="000B0789">
        <w:rPr>
          <w:rFonts w:ascii="Aptos"/>
          <w:lang w:val="en-GB"/>
        </w:rPr>
        <w:t xml:space="preserve">Bellanova, R., Carrapico, H., &amp; Duez, D. (2022). Digital/sovereignty and European security integration: An introduction. </w:t>
      </w:r>
      <w:r w:rsidRPr="000B0789">
        <w:rPr>
          <w:rFonts w:ascii="Aptos"/>
          <w:i/>
          <w:iCs/>
          <w:lang w:val="en-GB"/>
        </w:rPr>
        <w:t>European Security</w:t>
      </w:r>
      <w:r w:rsidRPr="000B0789">
        <w:rPr>
          <w:rFonts w:ascii="Aptos"/>
          <w:lang w:val="en-GB"/>
        </w:rPr>
        <w:t xml:space="preserve">, </w:t>
      </w:r>
      <w:r w:rsidRPr="000B0789">
        <w:rPr>
          <w:rFonts w:ascii="Aptos"/>
          <w:i/>
          <w:iCs/>
          <w:lang w:val="en-GB"/>
        </w:rPr>
        <w:t>31</w:t>
      </w:r>
      <w:r w:rsidRPr="000B0789">
        <w:rPr>
          <w:rFonts w:ascii="Aptos"/>
          <w:lang w:val="en-GB"/>
        </w:rPr>
        <w:t>(3), 337</w:t>
      </w:r>
      <w:r w:rsidRPr="000B0789">
        <w:rPr>
          <w:rFonts w:ascii="Aptos"/>
          <w:lang w:val="en-GB"/>
        </w:rPr>
        <w:t>–</w:t>
      </w:r>
      <w:r w:rsidRPr="000B0789">
        <w:rPr>
          <w:rFonts w:ascii="Aptos"/>
          <w:lang w:val="en-GB"/>
        </w:rPr>
        <w:t>355. https://doi.org/10.1080/09662839.2022.2101887</w:t>
      </w:r>
    </w:p>
    <w:p w14:paraId="654E27DF" w14:textId="77777777" w:rsidR="000B0789" w:rsidRPr="000B0789" w:rsidRDefault="000B0789" w:rsidP="000B0789">
      <w:pPr>
        <w:pStyle w:val="Bibliography"/>
        <w:rPr>
          <w:rFonts w:ascii="Aptos"/>
          <w:lang w:val="en-GB"/>
        </w:rPr>
      </w:pPr>
      <w:r w:rsidRPr="000B0789">
        <w:rPr>
          <w:rFonts w:ascii="Aptos"/>
          <w:lang w:val="en-GB"/>
        </w:rPr>
        <w:t xml:space="preserve">Bogner, A., Littig, B., &amp; Menz, W. (2009). Introduction: Expert Interviews </w:t>
      </w:r>
      <w:r w:rsidRPr="000B0789">
        <w:rPr>
          <w:rFonts w:ascii="Aptos"/>
          <w:lang w:val="en-GB"/>
        </w:rPr>
        <w:t>—</w:t>
      </w:r>
      <w:r w:rsidRPr="000B0789">
        <w:rPr>
          <w:rFonts w:ascii="Aptos"/>
          <w:lang w:val="en-GB"/>
        </w:rPr>
        <w:t xml:space="preserve"> An Introduction to a New Methodological Debate. In A. Bogner, B. Littig, &amp; W. Menz (Eds.), </w:t>
      </w:r>
      <w:r w:rsidRPr="000B0789">
        <w:rPr>
          <w:rFonts w:ascii="Aptos"/>
          <w:i/>
          <w:iCs/>
          <w:lang w:val="en-GB"/>
        </w:rPr>
        <w:t>Interviewing Experts</w:t>
      </w:r>
      <w:r w:rsidRPr="000B0789">
        <w:rPr>
          <w:rFonts w:ascii="Aptos"/>
          <w:lang w:val="en-GB"/>
        </w:rPr>
        <w:t xml:space="preserve"> (pp. 1</w:t>
      </w:r>
      <w:r w:rsidRPr="000B0789">
        <w:rPr>
          <w:rFonts w:ascii="Aptos"/>
          <w:lang w:val="en-GB"/>
        </w:rPr>
        <w:t>–</w:t>
      </w:r>
      <w:r w:rsidRPr="000B0789">
        <w:rPr>
          <w:rFonts w:ascii="Aptos"/>
          <w:lang w:val="en-GB"/>
        </w:rPr>
        <w:t>13). Palgrave Macmillan UK. https://doi.org/10.1057/9780230244276_1</w:t>
      </w:r>
    </w:p>
    <w:p w14:paraId="025C8A3B" w14:textId="77777777" w:rsidR="000B0789" w:rsidRPr="000B0789" w:rsidRDefault="000B0789" w:rsidP="000B0789">
      <w:pPr>
        <w:pStyle w:val="Bibliography"/>
        <w:rPr>
          <w:rFonts w:ascii="Aptos"/>
          <w:lang w:val="en-GB"/>
        </w:rPr>
      </w:pPr>
      <w:r w:rsidRPr="000B0789">
        <w:rPr>
          <w:rFonts w:ascii="Aptos"/>
          <w:lang w:val="en-GB"/>
        </w:rPr>
        <w:t xml:space="preserve">Levy, J. S. (2008). Case Studies: Types, Designs, and Logics of Inference. </w:t>
      </w:r>
      <w:r w:rsidRPr="000B0789">
        <w:rPr>
          <w:rFonts w:ascii="Aptos"/>
          <w:i/>
          <w:iCs/>
          <w:lang w:val="en-GB"/>
        </w:rPr>
        <w:t>Conflict Management and Peace Science</w:t>
      </w:r>
      <w:r w:rsidRPr="000B0789">
        <w:rPr>
          <w:rFonts w:ascii="Aptos"/>
          <w:lang w:val="en-GB"/>
        </w:rPr>
        <w:t xml:space="preserve">, </w:t>
      </w:r>
      <w:r w:rsidRPr="000B0789">
        <w:rPr>
          <w:rFonts w:ascii="Aptos"/>
          <w:i/>
          <w:iCs/>
          <w:lang w:val="en-GB"/>
        </w:rPr>
        <w:t>25</w:t>
      </w:r>
      <w:r w:rsidRPr="000B0789">
        <w:rPr>
          <w:rFonts w:ascii="Aptos"/>
          <w:lang w:val="en-GB"/>
        </w:rPr>
        <w:t>(1), 1</w:t>
      </w:r>
      <w:r w:rsidRPr="000B0789">
        <w:rPr>
          <w:rFonts w:ascii="Aptos"/>
          <w:lang w:val="en-GB"/>
        </w:rPr>
        <w:t>–</w:t>
      </w:r>
      <w:r w:rsidRPr="000B0789">
        <w:rPr>
          <w:rFonts w:ascii="Aptos"/>
          <w:lang w:val="en-GB"/>
        </w:rPr>
        <w:t>18. https://doi.org/10.1080/07388940701860318</w:t>
      </w:r>
    </w:p>
    <w:p w14:paraId="332FA258" w14:textId="77777777" w:rsidR="000B0789" w:rsidRPr="000B0789" w:rsidRDefault="000B0789" w:rsidP="000B0789">
      <w:pPr>
        <w:pStyle w:val="Bibliography"/>
        <w:rPr>
          <w:rFonts w:ascii="Aptos"/>
          <w:lang w:val="en-GB"/>
        </w:rPr>
      </w:pPr>
      <w:r w:rsidRPr="000B0789">
        <w:rPr>
          <w:rFonts w:ascii="Aptos"/>
          <w:lang w:val="en-GB"/>
        </w:rPr>
        <w:t>Oliveira Martins, B., Lid</w:t>
      </w:r>
      <w:r w:rsidRPr="000B0789">
        <w:rPr>
          <w:rFonts w:ascii="Aptos"/>
          <w:lang w:val="en-GB"/>
        </w:rPr>
        <w:t>é</w:t>
      </w:r>
      <w:r w:rsidRPr="000B0789">
        <w:rPr>
          <w:rFonts w:ascii="Aptos"/>
          <w:lang w:val="en-GB"/>
        </w:rPr>
        <w:t xml:space="preserve">n, K., &amp; Jumbert, M. G. (2022). Border security and the digitalisation of sovereignty: Insights from EU borderwork. </w:t>
      </w:r>
      <w:r w:rsidRPr="000B0789">
        <w:rPr>
          <w:rFonts w:ascii="Aptos"/>
          <w:i/>
          <w:iCs/>
          <w:lang w:val="en-GB"/>
        </w:rPr>
        <w:t>European Security</w:t>
      </w:r>
      <w:r w:rsidRPr="000B0789">
        <w:rPr>
          <w:rFonts w:ascii="Aptos"/>
          <w:lang w:val="en-GB"/>
        </w:rPr>
        <w:t xml:space="preserve">, </w:t>
      </w:r>
      <w:r w:rsidRPr="000B0789">
        <w:rPr>
          <w:rFonts w:ascii="Aptos"/>
          <w:i/>
          <w:iCs/>
          <w:lang w:val="en-GB"/>
        </w:rPr>
        <w:t>31</w:t>
      </w:r>
      <w:r w:rsidRPr="000B0789">
        <w:rPr>
          <w:rFonts w:ascii="Aptos"/>
          <w:lang w:val="en-GB"/>
        </w:rPr>
        <w:t>(3), 475</w:t>
      </w:r>
      <w:r w:rsidRPr="000B0789">
        <w:rPr>
          <w:rFonts w:ascii="Aptos"/>
          <w:lang w:val="en-GB"/>
        </w:rPr>
        <w:t>–</w:t>
      </w:r>
      <w:r w:rsidRPr="000B0789">
        <w:rPr>
          <w:rFonts w:ascii="Aptos"/>
          <w:lang w:val="en-GB"/>
        </w:rPr>
        <w:t>494. https://doi.org/10.1080/09662839.2022.2101884</w:t>
      </w:r>
    </w:p>
    <w:p w14:paraId="4573EA8E" w14:textId="77777777" w:rsidR="000B0789" w:rsidRPr="000B0789" w:rsidRDefault="000B0789" w:rsidP="000B0789">
      <w:pPr>
        <w:pStyle w:val="Bibliography"/>
        <w:rPr>
          <w:rFonts w:ascii="Aptos"/>
          <w:lang w:val="en-GB"/>
        </w:rPr>
      </w:pPr>
      <w:r w:rsidRPr="000B0789">
        <w:rPr>
          <w:rFonts w:ascii="Aptos"/>
          <w:lang w:val="en-GB"/>
        </w:rPr>
        <w:t xml:space="preserve">Seawright, J., &amp; Gerring, J. (2008). Case Selection Techniques in Case Study Research: A Menu of Qualitative and Quantitative Options. </w:t>
      </w:r>
      <w:r w:rsidRPr="000B0789">
        <w:rPr>
          <w:rFonts w:ascii="Aptos"/>
          <w:i/>
          <w:iCs/>
          <w:lang w:val="en-GB"/>
        </w:rPr>
        <w:t>Political Research Quarterly</w:t>
      </w:r>
      <w:r w:rsidRPr="000B0789">
        <w:rPr>
          <w:rFonts w:ascii="Aptos"/>
          <w:lang w:val="en-GB"/>
        </w:rPr>
        <w:t xml:space="preserve">, </w:t>
      </w:r>
      <w:r w:rsidRPr="000B0789">
        <w:rPr>
          <w:rFonts w:ascii="Aptos"/>
          <w:i/>
          <w:iCs/>
          <w:lang w:val="en-GB"/>
        </w:rPr>
        <w:t>61</w:t>
      </w:r>
      <w:r w:rsidRPr="000B0789">
        <w:rPr>
          <w:rFonts w:ascii="Aptos"/>
          <w:lang w:val="en-GB"/>
        </w:rPr>
        <w:t>(2), 294</w:t>
      </w:r>
      <w:r w:rsidRPr="000B0789">
        <w:rPr>
          <w:rFonts w:ascii="Aptos"/>
          <w:lang w:val="en-GB"/>
        </w:rPr>
        <w:t>–</w:t>
      </w:r>
      <w:r w:rsidRPr="000B0789">
        <w:rPr>
          <w:rFonts w:ascii="Aptos"/>
          <w:lang w:val="en-GB"/>
        </w:rPr>
        <w:t>308. https://doi.org/10.1177/1065912907313077</w:t>
      </w:r>
    </w:p>
    <w:p w14:paraId="1FCFD6DF" w14:textId="5FDDA113" w:rsidR="000800E3" w:rsidRDefault="000B0789">
      <w:r>
        <w:fldChar w:fldCharType="end"/>
      </w:r>
    </w:p>
    <w:sectPr w:rsidR="000800E3">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5FD4F6" w14:textId="77777777" w:rsidR="00C933D2" w:rsidRDefault="00C933D2" w:rsidP="008D238D">
      <w:r>
        <w:separator/>
      </w:r>
    </w:p>
  </w:endnote>
  <w:endnote w:type="continuationSeparator" w:id="0">
    <w:p w14:paraId="5207C05A" w14:textId="77777777" w:rsidR="00C933D2" w:rsidRDefault="00C933D2" w:rsidP="008D2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pleSystemUIFont">
    <w:altName w:val="Calibri"/>
    <w:panose1 w:val="020B0604020202020204"/>
    <w:charset w:val="00"/>
    <w:family w:val="auto"/>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187795"/>
      <w:docPartObj>
        <w:docPartGallery w:val="Page Numbers (Bottom of Page)"/>
        <w:docPartUnique/>
      </w:docPartObj>
    </w:sdtPr>
    <w:sdtContent>
      <w:p w14:paraId="78817B1C" w14:textId="76B24377" w:rsidR="004B581D" w:rsidRDefault="004B581D" w:rsidP="009166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E6E387" w14:textId="77777777" w:rsidR="004B581D" w:rsidRDefault="004B581D" w:rsidP="004B58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93619073"/>
      <w:docPartObj>
        <w:docPartGallery w:val="Page Numbers (Bottom of Page)"/>
        <w:docPartUnique/>
      </w:docPartObj>
    </w:sdtPr>
    <w:sdtContent>
      <w:p w14:paraId="7D5FC268" w14:textId="629BAD6E" w:rsidR="004B581D" w:rsidRDefault="004B581D" w:rsidP="009166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F4660A0" w14:textId="77777777" w:rsidR="004B581D" w:rsidRDefault="004B581D" w:rsidP="004B58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32A459" w14:textId="77777777" w:rsidR="00C933D2" w:rsidRDefault="00C933D2" w:rsidP="008D238D">
      <w:r>
        <w:separator/>
      </w:r>
    </w:p>
  </w:footnote>
  <w:footnote w:type="continuationSeparator" w:id="0">
    <w:p w14:paraId="7E06AF3E" w14:textId="77777777" w:rsidR="00C933D2" w:rsidRDefault="00C933D2" w:rsidP="008D238D">
      <w:r>
        <w:continuationSeparator/>
      </w:r>
    </w:p>
  </w:footnote>
  <w:footnote w:id="1">
    <w:p w14:paraId="2B502843" w14:textId="6DC060F4" w:rsidR="00A14355" w:rsidRPr="00A14355" w:rsidRDefault="00A14355" w:rsidP="00A14355">
      <w:pPr>
        <w:pStyle w:val="NormalWeb"/>
        <w:rPr>
          <w:sz w:val="18"/>
          <w:szCs w:val="18"/>
        </w:rPr>
      </w:pPr>
      <w:r w:rsidRPr="00A14355">
        <w:rPr>
          <w:rStyle w:val="FootnoteReference"/>
          <w:sz w:val="18"/>
          <w:szCs w:val="18"/>
        </w:rPr>
        <w:footnoteRef/>
      </w:r>
      <w:r w:rsidRPr="00A14355">
        <w:rPr>
          <w:sz w:val="18"/>
          <w:szCs w:val="18"/>
        </w:rPr>
        <w:t xml:space="preserve"> The central research question of the project is: how does governance by data infrastructure transform liberal democracy?</w:t>
      </w:r>
    </w:p>
  </w:footnote>
  <w:footnote w:id="2">
    <w:p w14:paraId="3E451B53" w14:textId="003235D4" w:rsidR="000D6D23" w:rsidRPr="000D6D23" w:rsidRDefault="000D6D23">
      <w:pPr>
        <w:pStyle w:val="FootnoteText"/>
        <w:rPr>
          <w:lang w:val="en-US"/>
        </w:rPr>
      </w:pPr>
      <w:r>
        <w:rPr>
          <w:rStyle w:val="FootnoteReference"/>
        </w:rPr>
        <w:footnoteRef/>
      </w:r>
      <w:r>
        <w:t xml:space="preserve"> </w:t>
      </w:r>
      <w:r w:rsidRPr="000D6D23">
        <w:rPr>
          <w:lang w:val="en-US"/>
        </w:rPr>
        <w:t>Include example of butcher (To be done)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F43572"/>
    <w:multiLevelType w:val="multilevel"/>
    <w:tmpl w:val="3B4C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D09E2"/>
    <w:multiLevelType w:val="hybridMultilevel"/>
    <w:tmpl w:val="5E44EE24"/>
    <w:lvl w:ilvl="0" w:tplc="CBF27C12">
      <w:start w:val="5"/>
      <w:numFmt w:val="bullet"/>
      <w:lvlText w:val="-"/>
      <w:lvlJc w:val="left"/>
      <w:pPr>
        <w:ind w:left="720" w:hanging="360"/>
      </w:pPr>
      <w:rPr>
        <w:rFonts w:ascii="AppleSystemUIFont" w:eastAsiaTheme="minorHAnsi" w:hAnsi="AppleSystemUIFont"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EA6C51"/>
    <w:multiLevelType w:val="hybridMultilevel"/>
    <w:tmpl w:val="35323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212F87"/>
    <w:multiLevelType w:val="hybridMultilevel"/>
    <w:tmpl w:val="6B48064A"/>
    <w:lvl w:ilvl="0" w:tplc="4986FF72">
      <w:start w:val="5"/>
      <w:numFmt w:val="bullet"/>
      <w:lvlText w:val="-"/>
      <w:lvlJc w:val="left"/>
      <w:pPr>
        <w:ind w:left="720" w:hanging="360"/>
      </w:pPr>
      <w:rPr>
        <w:rFonts w:ascii="AppleSystemUIFont" w:eastAsiaTheme="minorHAnsi" w:hAnsi="AppleSystemUIFont" w:cs="AppleSystemUIFont"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0E3B9B"/>
    <w:multiLevelType w:val="hybridMultilevel"/>
    <w:tmpl w:val="9EA4AAAA"/>
    <w:lvl w:ilvl="0" w:tplc="9C90AA6C">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42BBA"/>
    <w:multiLevelType w:val="multilevel"/>
    <w:tmpl w:val="72104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7C61DE"/>
    <w:multiLevelType w:val="hybridMultilevel"/>
    <w:tmpl w:val="BCC208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CB03DBE"/>
    <w:multiLevelType w:val="multilevel"/>
    <w:tmpl w:val="DC50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2195066">
    <w:abstractNumId w:val="0"/>
  </w:num>
  <w:num w:numId="2" w16cid:durableId="220218654">
    <w:abstractNumId w:val="1"/>
  </w:num>
  <w:num w:numId="3" w16cid:durableId="1109394276">
    <w:abstractNumId w:val="2"/>
  </w:num>
  <w:num w:numId="4" w16cid:durableId="51932783">
    <w:abstractNumId w:val="4"/>
  </w:num>
  <w:num w:numId="5" w16cid:durableId="320626644">
    <w:abstractNumId w:val="6"/>
  </w:num>
  <w:num w:numId="6" w16cid:durableId="2075855720">
    <w:abstractNumId w:val="8"/>
  </w:num>
  <w:num w:numId="7" w16cid:durableId="1295600367">
    <w:abstractNumId w:val="9"/>
  </w:num>
  <w:num w:numId="8" w16cid:durableId="1027221583">
    <w:abstractNumId w:val="5"/>
  </w:num>
  <w:num w:numId="9" w16cid:durableId="460344226">
    <w:abstractNumId w:val="7"/>
  </w:num>
  <w:num w:numId="10" w16cid:durableId="425686064">
    <w:abstractNumId w:val="10"/>
  </w:num>
  <w:num w:numId="11" w16cid:durableId="100489391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986"/>
    <w:rsid w:val="00000C5A"/>
    <w:rsid w:val="000424D4"/>
    <w:rsid w:val="0005512A"/>
    <w:rsid w:val="00060623"/>
    <w:rsid w:val="00063FC2"/>
    <w:rsid w:val="000800E3"/>
    <w:rsid w:val="000A1CAF"/>
    <w:rsid w:val="000B0789"/>
    <w:rsid w:val="000B642E"/>
    <w:rsid w:val="000B7926"/>
    <w:rsid w:val="000D5C77"/>
    <w:rsid w:val="000D6D23"/>
    <w:rsid w:val="000E3127"/>
    <w:rsid w:val="00102C2D"/>
    <w:rsid w:val="00104C89"/>
    <w:rsid w:val="00107F3D"/>
    <w:rsid w:val="0011510B"/>
    <w:rsid w:val="00115553"/>
    <w:rsid w:val="00126154"/>
    <w:rsid w:val="00170242"/>
    <w:rsid w:val="001712E1"/>
    <w:rsid w:val="001734AC"/>
    <w:rsid w:val="0018269D"/>
    <w:rsid w:val="0019716C"/>
    <w:rsid w:val="001A3237"/>
    <w:rsid w:val="001A60A8"/>
    <w:rsid w:val="001E4954"/>
    <w:rsid w:val="00201655"/>
    <w:rsid w:val="00202915"/>
    <w:rsid w:val="002524F3"/>
    <w:rsid w:val="0025639F"/>
    <w:rsid w:val="00270816"/>
    <w:rsid w:val="00274EAA"/>
    <w:rsid w:val="002A1986"/>
    <w:rsid w:val="002B4529"/>
    <w:rsid w:val="002D2667"/>
    <w:rsid w:val="002D61B5"/>
    <w:rsid w:val="002F6071"/>
    <w:rsid w:val="003071E0"/>
    <w:rsid w:val="0035029C"/>
    <w:rsid w:val="003605B8"/>
    <w:rsid w:val="0037018A"/>
    <w:rsid w:val="00384B5A"/>
    <w:rsid w:val="003C1E5B"/>
    <w:rsid w:val="003D1803"/>
    <w:rsid w:val="003E2F8C"/>
    <w:rsid w:val="004167BA"/>
    <w:rsid w:val="0042188C"/>
    <w:rsid w:val="00430B22"/>
    <w:rsid w:val="00471E34"/>
    <w:rsid w:val="00491802"/>
    <w:rsid w:val="004954E9"/>
    <w:rsid w:val="004B581D"/>
    <w:rsid w:val="004D3AFC"/>
    <w:rsid w:val="004F490B"/>
    <w:rsid w:val="00512495"/>
    <w:rsid w:val="00525C96"/>
    <w:rsid w:val="00530A44"/>
    <w:rsid w:val="00536B67"/>
    <w:rsid w:val="00555CA9"/>
    <w:rsid w:val="00571A47"/>
    <w:rsid w:val="005802CA"/>
    <w:rsid w:val="00580FF7"/>
    <w:rsid w:val="00582D06"/>
    <w:rsid w:val="005837E0"/>
    <w:rsid w:val="005858B4"/>
    <w:rsid w:val="005D36AB"/>
    <w:rsid w:val="005D61E4"/>
    <w:rsid w:val="006042B7"/>
    <w:rsid w:val="006404E3"/>
    <w:rsid w:val="00642260"/>
    <w:rsid w:val="00654E6F"/>
    <w:rsid w:val="006577ED"/>
    <w:rsid w:val="006A0869"/>
    <w:rsid w:val="006C03DA"/>
    <w:rsid w:val="006D6C41"/>
    <w:rsid w:val="006E4F06"/>
    <w:rsid w:val="0070153D"/>
    <w:rsid w:val="00717314"/>
    <w:rsid w:val="0074340C"/>
    <w:rsid w:val="007435B8"/>
    <w:rsid w:val="0074593E"/>
    <w:rsid w:val="00751534"/>
    <w:rsid w:val="00776FC4"/>
    <w:rsid w:val="00793392"/>
    <w:rsid w:val="00796F52"/>
    <w:rsid w:val="007B4FB5"/>
    <w:rsid w:val="007B7159"/>
    <w:rsid w:val="007D052C"/>
    <w:rsid w:val="007D555E"/>
    <w:rsid w:val="007E76C5"/>
    <w:rsid w:val="007F3B3B"/>
    <w:rsid w:val="00802BE4"/>
    <w:rsid w:val="00841682"/>
    <w:rsid w:val="00841AE0"/>
    <w:rsid w:val="008420E1"/>
    <w:rsid w:val="008618CA"/>
    <w:rsid w:val="00870D70"/>
    <w:rsid w:val="008C3426"/>
    <w:rsid w:val="008D238D"/>
    <w:rsid w:val="008D3796"/>
    <w:rsid w:val="008D3C23"/>
    <w:rsid w:val="008D5524"/>
    <w:rsid w:val="008E61C7"/>
    <w:rsid w:val="008E7ADE"/>
    <w:rsid w:val="008F262C"/>
    <w:rsid w:val="009031C9"/>
    <w:rsid w:val="00913B26"/>
    <w:rsid w:val="0092767A"/>
    <w:rsid w:val="009457EF"/>
    <w:rsid w:val="00953D4F"/>
    <w:rsid w:val="009606B6"/>
    <w:rsid w:val="00960F03"/>
    <w:rsid w:val="00965A71"/>
    <w:rsid w:val="00965C96"/>
    <w:rsid w:val="009677B4"/>
    <w:rsid w:val="00967949"/>
    <w:rsid w:val="00975168"/>
    <w:rsid w:val="00985EA9"/>
    <w:rsid w:val="009917D6"/>
    <w:rsid w:val="009A1D5D"/>
    <w:rsid w:val="009A47FA"/>
    <w:rsid w:val="009B19D8"/>
    <w:rsid w:val="009B4F73"/>
    <w:rsid w:val="009C7A85"/>
    <w:rsid w:val="009D238D"/>
    <w:rsid w:val="009E2291"/>
    <w:rsid w:val="009E342C"/>
    <w:rsid w:val="009E5F54"/>
    <w:rsid w:val="00A14355"/>
    <w:rsid w:val="00A612B8"/>
    <w:rsid w:val="00A625F7"/>
    <w:rsid w:val="00A824FF"/>
    <w:rsid w:val="00A933EC"/>
    <w:rsid w:val="00A94A16"/>
    <w:rsid w:val="00A970AC"/>
    <w:rsid w:val="00AB0F72"/>
    <w:rsid w:val="00AB5235"/>
    <w:rsid w:val="00AC4222"/>
    <w:rsid w:val="00AC756E"/>
    <w:rsid w:val="00AC7CC6"/>
    <w:rsid w:val="00AD29B4"/>
    <w:rsid w:val="00AE15F0"/>
    <w:rsid w:val="00AE2032"/>
    <w:rsid w:val="00AF3A5B"/>
    <w:rsid w:val="00B1498C"/>
    <w:rsid w:val="00B62983"/>
    <w:rsid w:val="00B6525F"/>
    <w:rsid w:val="00B6670E"/>
    <w:rsid w:val="00B953C0"/>
    <w:rsid w:val="00BA0829"/>
    <w:rsid w:val="00BC225E"/>
    <w:rsid w:val="00BC61B6"/>
    <w:rsid w:val="00BD216C"/>
    <w:rsid w:val="00BE7A3C"/>
    <w:rsid w:val="00C104A7"/>
    <w:rsid w:val="00C15DD7"/>
    <w:rsid w:val="00C35902"/>
    <w:rsid w:val="00C37FA2"/>
    <w:rsid w:val="00C41963"/>
    <w:rsid w:val="00C423E3"/>
    <w:rsid w:val="00C43D6E"/>
    <w:rsid w:val="00C46CD6"/>
    <w:rsid w:val="00C473AE"/>
    <w:rsid w:val="00C933D2"/>
    <w:rsid w:val="00CA0F86"/>
    <w:rsid w:val="00CA4BB9"/>
    <w:rsid w:val="00CC20DD"/>
    <w:rsid w:val="00CC68F3"/>
    <w:rsid w:val="00CE6E1A"/>
    <w:rsid w:val="00CF521B"/>
    <w:rsid w:val="00CF606E"/>
    <w:rsid w:val="00D06A1D"/>
    <w:rsid w:val="00D0720E"/>
    <w:rsid w:val="00D459A8"/>
    <w:rsid w:val="00D5422F"/>
    <w:rsid w:val="00D57C3C"/>
    <w:rsid w:val="00D652EE"/>
    <w:rsid w:val="00D702C3"/>
    <w:rsid w:val="00D92254"/>
    <w:rsid w:val="00D92D66"/>
    <w:rsid w:val="00D9449C"/>
    <w:rsid w:val="00DB4C08"/>
    <w:rsid w:val="00DC5309"/>
    <w:rsid w:val="00DE4C9A"/>
    <w:rsid w:val="00E10A9C"/>
    <w:rsid w:val="00E3762C"/>
    <w:rsid w:val="00E467D3"/>
    <w:rsid w:val="00E50338"/>
    <w:rsid w:val="00E92290"/>
    <w:rsid w:val="00EB0EFD"/>
    <w:rsid w:val="00EC441C"/>
    <w:rsid w:val="00EC52A5"/>
    <w:rsid w:val="00ED6130"/>
    <w:rsid w:val="00EE1DB1"/>
    <w:rsid w:val="00F350DC"/>
    <w:rsid w:val="00F53AB8"/>
    <w:rsid w:val="00F6254C"/>
    <w:rsid w:val="00F80EE8"/>
    <w:rsid w:val="00F82007"/>
    <w:rsid w:val="00F97672"/>
    <w:rsid w:val="00FA3459"/>
    <w:rsid w:val="00FB35AD"/>
    <w:rsid w:val="00FB7F40"/>
    <w:rsid w:val="00FE42BF"/>
    <w:rsid w:val="00FE52E9"/>
    <w:rsid w:val="00FF424C"/>
    <w:rsid w:val="00FF49EF"/>
    <w:rsid w:val="00FF6038"/>
    <w:rsid w:val="00FF639D"/>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EADFA"/>
  <w15:chartTrackingRefBased/>
  <w15:docId w15:val="{3CCF18C5-8D2F-E042-8441-459F69B68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0A8"/>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2A1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9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9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9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9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986"/>
    <w:rPr>
      <w:rFonts w:eastAsiaTheme="majorEastAsia" w:cstheme="majorBidi"/>
      <w:color w:val="272727" w:themeColor="text1" w:themeTint="D8"/>
    </w:rPr>
  </w:style>
  <w:style w:type="paragraph" w:styleId="Title">
    <w:name w:val="Title"/>
    <w:basedOn w:val="Normal"/>
    <w:next w:val="Normal"/>
    <w:link w:val="TitleChar"/>
    <w:uiPriority w:val="10"/>
    <w:qFormat/>
    <w:rsid w:val="002A19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986"/>
    <w:pPr>
      <w:spacing w:before="160"/>
      <w:jc w:val="center"/>
    </w:pPr>
    <w:rPr>
      <w:i/>
      <w:iCs/>
      <w:color w:val="404040" w:themeColor="text1" w:themeTint="BF"/>
    </w:rPr>
  </w:style>
  <w:style w:type="character" w:customStyle="1" w:styleId="QuoteChar">
    <w:name w:val="Quote Char"/>
    <w:basedOn w:val="DefaultParagraphFont"/>
    <w:link w:val="Quote"/>
    <w:uiPriority w:val="29"/>
    <w:rsid w:val="002A1986"/>
    <w:rPr>
      <w:i/>
      <w:iCs/>
      <w:color w:val="404040" w:themeColor="text1" w:themeTint="BF"/>
    </w:rPr>
  </w:style>
  <w:style w:type="paragraph" w:styleId="ListParagraph">
    <w:name w:val="List Paragraph"/>
    <w:basedOn w:val="Normal"/>
    <w:uiPriority w:val="34"/>
    <w:qFormat/>
    <w:rsid w:val="002A1986"/>
    <w:pPr>
      <w:ind w:left="720"/>
      <w:contextualSpacing/>
    </w:pPr>
  </w:style>
  <w:style w:type="character" w:styleId="IntenseEmphasis">
    <w:name w:val="Intense Emphasis"/>
    <w:basedOn w:val="DefaultParagraphFont"/>
    <w:uiPriority w:val="21"/>
    <w:qFormat/>
    <w:rsid w:val="002A1986"/>
    <w:rPr>
      <w:i/>
      <w:iCs/>
      <w:color w:val="0F4761" w:themeColor="accent1" w:themeShade="BF"/>
    </w:rPr>
  </w:style>
  <w:style w:type="paragraph" w:styleId="IntenseQuote">
    <w:name w:val="Intense Quote"/>
    <w:basedOn w:val="Normal"/>
    <w:next w:val="Normal"/>
    <w:link w:val="IntenseQuoteChar"/>
    <w:uiPriority w:val="30"/>
    <w:qFormat/>
    <w:rsid w:val="002A1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986"/>
    <w:rPr>
      <w:i/>
      <w:iCs/>
      <w:color w:val="0F4761" w:themeColor="accent1" w:themeShade="BF"/>
    </w:rPr>
  </w:style>
  <w:style w:type="character" w:styleId="IntenseReference">
    <w:name w:val="Intense Reference"/>
    <w:basedOn w:val="DefaultParagraphFont"/>
    <w:uiPriority w:val="32"/>
    <w:qFormat/>
    <w:rsid w:val="002A1986"/>
    <w:rPr>
      <w:b/>
      <w:bCs/>
      <w:smallCaps/>
      <w:color w:val="0F4761" w:themeColor="accent1" w:themeShade="BF"/>
      <w:spacing w:val="5"/>
    </w:rPr>
  </w:style>
  <w:style w:type="paragraph" w:customStyle="1" w:styleId="font-claude-response-body">
    <w:name w:val="font-claude-response-body"/>
    <w:basedOn w:val="Normal"/>
    <w:rsid w:val="005D61E4"/>
    <w:pPr>
      <w:spacing w:before="100" w:beforeAutospacing="1" w:after="100" w:afterAutospacing="1"/>
    </w:pPr>
  </w:style>
  <w:style w:type="paragraph" w:customStyle="1" w:styleId="p1">
    <w:name w:val="p1"/>
    <w:basedOn w:val="Normal"/>
    <w:rsid w:val="007D052C"/>
    <w:rPr>
      <w:color w:val="000000"/>
      <w:sz w:val="18"/>
      <w:szCs w:val="18"/>
    </w:rPr>
  </w:style>
  <w:style w:type="character" w:customStyle="1" w:styleId="apple-converted-space">
    <w:name w:val="apple-converted-space"/>
    <w:basedOn w:val="DefaultParagraphFont"/>
    <w:rsid w:val="00CC20DD"/>
  </w:style>
  <w:style w:type="character" w:styleId="Emphasis">
    <w:name w:val="Emphasis"/>
    <w:basedOn w:val="DefaultParagraphFont"/>
    <w:uiPriority w:val="20"/>
    <w:qFormat/>
    <w:rsid w:val="009A1D5D"/>
    <w:rPr>
      <w:i/>
      <w:iCs/>
    </w:rPr>
  </w:style>
  <w:style w:type="character" w:styleId="Strong">
    <w:name w:val="Strong"/>
    <w:basedOn w:val="DefaultParagraphFont"/>
    <w:uiPriority w:val="22"/>
    <w:qFormat/>
    <w:rsid w:val="00D06A1D"/>
    <w:rPr>
      <w:b/>
      <w:bCs/>
    </w:rPr>
  </w:style>
  <w:style w:type="character" w:customStyle="1" w:styleId="s1">
    <w:name w:val="s1"/>
    <w:basedOn w:val="DefaultParagraphFont"/>
    <w:rsid w:val="001E4954"/>
    <w:rPr>
      <w:color w:val="F6000B"/>
    </w:rPr>
  </w:style>
  <w:style w:type="character" w:styleId="HTMLCode">
    <w:name w:val="HTML Code"/>
    <w:basedOn w:val="DefaultParagraphFont"/>
    <w:uiPriority w:val="99"/>
    <w:semiHidden/>
    <w:unhideWhenUsed/>
    <w:rsid w:val="008F262C"/>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8D238D"/>
    <w:rPr>
      <w:sz w:val="20"/>
      <w:szCs w:val="20"/>
    </w:rPr>
  </w:style>
  <w:style w:type="character" w:customStyle="1" w:styleId="FootnoteTextChar">
    <w:name w:val="Footnote Text Char"/>
    <w:basedOn w:val="DefaultParagraphFont"/>
    <w:link w:val="FootnoteText"/>
    <w:uiPriority w:val="99"/>
    <w:semiHidden/>
    <w:rsid w:val="008D238D"/>
    <w:rPr>
      <w:sz w:val="20"/>
      <w:szCs w:val="20"/>
    </w:rPr>
  </w:style>
  <w:style w:type="character" w:styleId="FootnoteReference">
    <w:name w:val="footnote reference"/>
    <w:basedOn w:val="DefaultParagraphFont"/>
    <w:uiPriority w:val="99"/>
    <w:semiHidden/>
    <w:unhideWhenUsed/>
    <w:rsid w:val="008D238D"/>
    <w:rPr>
      <w:vertAlign w:val="superscript"/>
    </w:rPr>
  </w:style>
  <w:style w:type="paragraph" w:styleId="NormalWeb">
    <w:name w:val="Normal (Web)"/>
    <w:basedOn w:val="Normal"/>
    <w:uiPriority w:val="99"/>
    <w:unhideWhenUsed/>
    <w:rsid w:val="00A14355"/>
    <w:pPr>
      <w:spacing w:before="100" w:beforeAutospacing="1" w:after="100" w:afterAutospacing="1"/>
    </w:pPr>
  </w:style>
  <w:style w:type="character" w:styleId="Hyperlink">
    <w:name w:val="Hyperlink"/>
    <w:basedOn w:val="DefaultParagraphFont"/>
    <w:uiPriority w:val="99"/>
    <w:semiHidden/>
    <w:unhideWhenUsed/>
    <w:rsid w:val="00A14355"/>
    <w:rPr>
      <w:color w:val="0000FF"/>
      <w:u w:val="single"/>
    </w:rPr>
  </w:style>
  <w:style w:type="paragraph" w:styleId="Bibliography">
    <w:name w:val="Bibliography"/>
    <w:basedOn w:val="Normal"/>
    <w:next w:val="Normal"/>
    <w:uiPriority w:val="37"/>
    <w:unhideWhenUsed/>
    <w:rsid w:val="000B0789"/>
    <w:pPr>
      <w:spacing w:line="480" w:lineRule="auto"/>
      <w:ind w:left="720" w:hanging="720"/>
    </w:pPr>
  </w:style>
  <w:style w:type="paragraph" w:styleId="Header">
    <w:name w:val="header"/>
    <w:basedOn w:val="Normal"/>
    <w:link w:val="HeaderChar"/>
    <w:uiPriority w:val="99"/>
    <w:unhideWhenUsed/>
    <w:rsid w:val="004B581D"/>
    <w:pPr>
      <w:tabs>
        <w:tab w:val="center" w:pos="4513"/>
        <w:tab w:val="right" w:pos="9026"/>
      </w:tabs>
    </w:pPr>
  </w:style>
  <w:style w:type="character" w:customStyle="1" w:styleId="HeaderChar">
    <w:name w:val="Header Char"/>
    <w:basedOn w:val="DefaultParagraphFont"/>
    <w:link w:val="Header"/>
    <w:uiPriority w:val="99"/>
    <w:rsid w:val="004B581D"/>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4B581D"/>
    <w:pPr>
      <w:tabs>
        <w:tab w:val="center" w:pos="4513"/>
        <w:tab w:val="right" w:pos="9026"/>
      </w:tabs>
    </w:pPr>
  </w:style>
  <w:style w:type="character" w:customStyle="1" w:styleId="FooterChar">
    <w:name w:val="Footer Char"/>
    <w:basedOn w:val="DefaultParagraphFont"/>
    <w:link w:val="Footer"/>
    <w:uiPriority w:val="99"/>
    <w:rsid w:val="004B581D"/>
    <w:rPr>
      <w:rFonts w:ascii="Times New Roman" w:eastAsia="Times New Roman" w:hAnsi="Times New Roman" w:cs="Times New Roman"/>
      <w:kern w:val="0"/>
      <w:lang w:eastAsia="en-GB"/>
      <w14:ligatures w14:val="none"/>
    </w:rPr>
  </w:style>
  <w:style w:type="character" w:styleId="PageNumber">
    <w:name w:val="page number"/>
    <w:basedOn w:val="DefaultParagraphFont"/>
    <w:uiPriority w:val="99"/>
    <w:semiHidden/>
    <w:unhideWhenUsed/>
    <w:rsid w:val="004B581D"/>
  </w:style>
  <w:style w:type="table" w:styleId="TableGrid">
    <w:name w:val="Table Grid"/>
    <w:basedOn w:val="TableNormal"/>
    <w:uiPriority w:val="39"/>
    <w:rsid w:val="00060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57C95-3B4D-DE44-A7E6-B835A81A6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836</TotalTime>
  <Pages>14</Pages>
  <Words>7046</Words>
  <Characters>40168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Mattéo Bard</dc:creator>
  <cp:keywords/>
  <dc:description/>
  <cp:lastModifiedBy>Mattéo Bard</cp:lastModifiedBy>
  <cp:revision>137</cp:revision>
  <cp:lastPrinted>2026-08-27T07:50:00Z</cp:lastPrinted>
  <dcterms:created xsi:type="dcterms:W3CDTF">2026-08-03T08:37:00Z</dcterms:created>
  <dcterms:modified xsi:type="dcterms:W3CDTF">2026-08-27T14:36:00Z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id="D92HyLvD"/&gt;&lt;style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