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BED5" w14:textId="77777777" w:rsidR="00651B80" w:rsidRPr="00973204" w:rsidRDefault="00651B80" w:rsidP="00C83DA2">
      <w:pPr>
        <w:spacing w:after="0" w:line="276" w:lineRule="auto"/>
        <w:jc w:val="both"/>
        <w:rPr>
          <w:b/>
          <w:bCs/>
          <w:sz w:val="22"/>
          <w:szCs w:val="22"/>
        </w:rPr>
      </w:pPr>
    </w:p>
    <w:p w14:paraId="6BDFC2A9" w14:textId="046301CD" w:rsidR="007D7055" w:rsidRPr="00620AEF" w:rsidRDefault="002A2D5D" w:rsidP="00C83DA2">
      <w:pPr>
        <w:spacing w:after="0" w:line="276" w:lineRule="auto"/>
        <w:jc w:val="both"/>
        <w:rPr>
          <w:b/>
          <w:bCs/>
          <w:sz w:val="28"/>
          <w:szCs w:val="28"/>
        </w:rPr>
      </w:pPr>
      <w:r w:rsidRPr="00620AEF">
        <w:rPr>
          <w:b/>
          <w:bCs/>
          <w:sz w:val="28"/>
          <w:szCs w:val="28"/>
        </w:rPr>
        <w:t>Governing through data infrastructures: The design and implementation of the National Education Data Infrastructure</w:t>
      </w:r>
    </w:p>
    <w:p w14:paraId="4A09ABCA" w14:textId="77777777" w:rsidR="007D7055" w:rsidRPr="00973204" w:rsidRDefault="007D7055" w:rsidP="00C83DA2">
      <w:pPr>
        <w:spacing w:after="0" w:line="276" w:lineRule="auto"/>
        <w:ind w:firstLine="567"/>
        <w:jc w:val="both"/>
        <w:rPr>
          <w:sz w:val="22"/>
          <w:szCs w:val="22"/>
        </w:rPr>
      </w:pPr>
    </w:p>
    <w:p w14:paraId="4A55F14F" w14:textId="77777777" w:rsidR="00620AEF" w:rsidRDefault="00620AEF" w:rsidP="00C83DA2">
      <w:pPr>
        <w:spacing w:after="0" w:line="276" w:lineRule="auto"/>
        <w:jc w:val="both"/>
        <w:rPr>
          <w:b/>
          <w:bCs/>
          <w:sz w:val="22"/>
          <w:szCs w:val="22"/>
        </w:rPr>
      </w:pPr>
    </w:p>
    <w:p w14:paraId="496022CD" w14:textId="77777777" w:rsidR="00C2086C" w:rsidRPr="00F10DC5" w:rsidRDefault="00C2086C" w:rsidP="00C2086C">
      <w:pPr>
        <w:jc w:val="both"/>
        <w:rPr>
          <w:rFonts w:ascii="Aptos" w:hAnsi="Aptos"/>
          <w:lang w:val="pt-BR"/>
        </w:rPr>
      </w:pPr>
      <w:r w:rsidRPr="00F10DC5">
        <w:rPr>
          <w:rFonts w:ascii="Aptos" w:hAnsi="Aptos"/>
          <w:lang w:val="pt-BR"/>
        </w:rPr>
        <w:t xml:space="preserve">Evânio Antônio de Araújo Júnior </w:t>
      </w:r>
      <w:r w:rsidRPr="00F10DC5">
        <w:rPr>
          <w:rStyle w:val="Refdenotaderodap"/>
          <w:rFonts w:ascii="Aptos" w:hAnsi="Aptos"/>
          <w:lang w:val="pt-BR"/>
        </w:rPr>
        <w:t>*</w:t>
      </w:r>
    </w:p>
    <w:p w14:paraId="0823DE3B" w14:textId="77777777" w:rsidR="00C2086C" w:rsidRPr="00F10DC5" w:rsidRDefault="00C2086C" w:rsidP="00C2086C">
      <w:pPr>
        <w:jc w:val="both"/>
        <w:rPr>
          <w:rFonts w:ascii="Aptos" w:hAnsi="Aptos"/>
          <w:lang w:val="pt-BR"/>
        </w:rPr>
      </w:pPr>
      <w:r w:rsidRPr="00F10DC5">
        <w:rPr>
          <w:rFonts w:ascii="Aptos" w:hAnsi="Aptos"/>
          <w:lang w:val="pt-BR"/>
        </w:rPr>
        <w:footnoteReference w:customMarkFollows="1" w:id="1"/>
        <w:t xml:space="preserve">Fernando Filgueiras </w:t>
      </w:r>
      <w:r w:rsidRPr="00F10DC5">
        <w:rPr>
          <w:rStyle w:val="Refdenotaderodap"/>
          <w:rFonts w:ascii="Aptos" w:hAnsi="Aptos"/>
          <w:lang w:val="pt-BR"/>
        </w:rPr>
        <w:t>**</w:t>
      </w:r>
    </w:p>
    <w:p w14:paraId="6311230C" w14:textId="77777777" w:rsidR="00C2086C" w:rsidRPr="00F10DC5" w:rsidRDefault="00C2086C" w:rsidP="00C2086C">
      <w:pPr>
        <w:jc w:val="both"/>
        <w:rPr>
          <w:rFonts w:ascii="Aptos" w:hAnsi="Aptos"/>
          <w:lang w:val="pt-BR"/>
        </w:rPr>
      </w:pPr>
      <w:r w:rsidRPr="00F10DC5">
        <w:rPr>
          <w:rFonts w:ascii="Aptos" w:hAnsi="Aptos"/>
          <w:lang w:val="pt-BR"/>
        </w:rPr>
        <w:footnoteReference w:customMarkFollows="1" w:id="2"/>
        <w:t xml:space="preserve">Daniel Castro </w:t>
      </w:r>
      <w:r w:rsidRPr="00F10DC5">
        <w:rPr>
          <w:rStyle w:val="Refdenotaderodap"/>
          <w:rFonts w:ascii="Aptos" w:hAnsi="Aptos"/>
          <w:lang w:val="pt-BR"/>
        </w:rPr>
        <w:t>***</w:t>
      </w:r>
    </w:p>
    <w:p w14:paraId="3B7B75FF" w14:textId="77777777" w:rsidR="00620AEF" w:rsidRPr="00F10DC5" w:rsidRDefault="00620AEF" w:rsidP="00C83DA2">
      <w:pPr>
        <w:spacing w:after="0" w:line="276" w:lineRule="auto"/>
        <w:jc w:val="both"/>
        <w:rPr>
          <w:b/>
          <w:bCs/>
          <w:sz w:val="22"/>
          <w:szCs w:val="22"/>
          <w:lang w:val="pt-BR"/>
        </w:rPr>
      </w:pPr>
    </w:p>
    <w:p w14:paraId="350B4A9D" w14:textId="77777777" w:rsidR="00620AEF" w:rsidRPr="00F10DC5" w:rsidRDefault="00620AEF" w:rsidP="00C83DA2">
      <w:pPr>
        <w:spacing w:after="0" w:line="276" w:lineRule="auto"/>
        <w:jc w:val="both"/>
        <w:rPr>
          <w:b/>
          <w:bCs/>
          <w:sz w:val="22"/>
          <w:szCs w:val="22"/>
          <w:lang w:val="pt-BR"/>
        </w:rPr>
      </w:pPr>
    </w:p>
    <w:p w14:paraId="0F1E9D4F" w14:textId="77777777" w:rsidR="00620AEF" w:rsidRPr="00F10DC5" w:rsidRDefault="00620AEF" w:rsidP="00C83DA2">
      <w:pPr>
        <w:spacing w:after="0" w:line="276" w:lineRule="auto"/>
        <w:jc w:val="both"/>
        <w:rPr>
          <w:b/>
          <w:bCs/>
          <w:sz w:val="22"/>
          <w:szCs w:val="22"/>
          <w:lang w:val="pt-BR"/>
        </w:rPr>
      </w:pPr>
    </w:p>
    <w:p w14:paraId="3496E992" w14:textId="77777777" w:rsidR="00620AEF" w:rsidRPr="00F10DC5" w:rsidRDefault="00620AEF" w:rsidP="00C83DA2">
      <w:pPr>
        <w:spacing w:after="0" w:line="276" w:lineRule="auto"/>
        <w:jc w:val="both"/>
        <w:rPr>
          <w:b/>
          <w:bCs/>
          <w:sz w:val="22"/>
          <w:szCs w:val="22"/>
          <w:lang w:val="pt-BR"/>
        </w:rPr>
      </w:pPr>
    </w:p>
    <w:p w14:paraId="61A1D17B" w14:textId="6A2754A7" w:rsidR="007D7055" w:rsidRPr="00F10DC5" w:rsidRDefault="00F753A3" w:rsidP="00C83DA2">
      <w:pPr>
        <w:spacing w:after="0" w:line="276" w:lineRule="auto"/>
        <w:jc w:val="both"/>
        <w:rPr>
          <w:b/>
          <w:bCs/>
          <w:sz w:val="22"/>
          <w:szCs w:val="22"/>
          <w:lang w:val="pt-BR"/>
        </w:rPr>
      </w:pPr>
      <w:r>
        <w:rPr>
          <w:b/>
          <w:bCs/>
          <w:sz w:val="22"/>
          <w:szCs w:val="22"/>
          <w:lang w:val="pt-BR"/>
        </w:rPr>
        <w:t>Abstract</w:t>
      </w:r>
    </w:p>
    <w:p w14:paraId="7C6D8A10" w14:textId="31601E3F" w:rsidR="007D7055" w:rsidRPr="00973204" w:rsidRDefault="007D7055" w:rsidP="00C83DA2">
      <w:pPr>
        <w:spacing w:after="0" w:line="276" w:lineRule="auto"/>
        <w:jc w:val="both"/>
        <w:rPr>
          <w:sz w:val="22"/>
          <w:szCs w:val="22"/>
        </w:rPr>
      </w:pPr>
      <w:bookmarkStart w:id="0" w:name="_Hlk218258376"/>
      <w:r w:rsidRPr="00973204">
        <w:rPr>
          <w:sz w:val="22"/>
          <w:szCs w:val="22"/>
        </w:rPr>
        <w:t>Brazilian education is undergoing a profound digital transformation, in which educational policies are formulated and implemented with the support of data infrastructures. This digital transformation of education implies socio-technical transformations in educational policy practices, at a macro level, and in teaching and learning practices, at a micro level. The objective of this article is to analyze the digital transformation process of education and to examine the growing consistency of Brazilian educational policies demonstrated by the following issues: (1) – the strengthening of the collaborative regime due to the socio-technical changes resulting from the National Education Data Infrastructure; (2) – educational policies gradually shaped by data; (3) – intermediary roles fulfilled by digital platforms. The article demonstrates how the National Education Data Infrastructure is a central element of the digital transformation of education, implying macro and micro-social practices driven by incremental institutional changes in educational policies.</w:t>
      </w:r>
    </w:p>
    <w:bookmarkEnd w:id="0"/>
    <w:p w14:paraId="742ECEB3" w14:textId="77777777" w:rsidR="00973204" w:rsidRDefault="00973204" w:rsidP="00C83DA2">
      <w:pPr>
        <w:spacing w:after="0" w:line="276" w:lineRule="auto"/>
        <w:jc w:val="both"/>
        <w:rPr>
          <w:b/>
          <w:bCs/>
          <w:sz w:val="22"/>
          <w:szCs w:val="22"/>
        </w:rPr>
      </w:pPr>
    </w:p>
    <w:p w14:paraId="50C914CD" w14:textId="071FE2D9" w:rsidR="004D0E4F" w:rsidRPr="00973204" w:rsidRDefault="004D0E4F" w:rsidP="00C83DA2">
      <w:pPr>
        <w:spacing w:after="0" w:line="276" w:lineRule="auto"/>
        <w:jc w:val="both"/>
        <w:rPr>
          <w:sz w:val="22"/>
          <w:szCs w:val="22"/>
        </w:rPr>
      </w:pPr>
      <w:r w:rsidRPr="00973204">
        <w:rPr>
          <w:b/>
          <w:bCs/>
          <w:sz w:val="22"/>
          <w:szCs w:val="22"/>
        </w:rPr>
        <w:t xml:space="preserve">Keywords: </w:t>
      </w:r>
      <w:r w:rsidRPr="00973204">
        <w:rPr>
          <w:sz w:val="22"/>
          <w:szCs w:val="22"/>
        </w:rPr>
        <w:t>educational policies; digital transformation; data infrastructure; digital platforms; emerging technologies.</w:t>
      </w:r>
    </w:p>
    <w:p w14:paraId="68762028" w14:textId="77777777" w:rsidR="00676FF7" w:rsidRDefault="00676FF7" w:rsidP="00C83DA2">
      <w:pPr>
        <w:spacing w:after="0" w:line="276" w:lineRule="auto"/>
        <w:ind w:firstLine="567"/>
        <w:jc w:val="both"/>
        <w:rPr>
          <w:sz w:val="22"/>
          <w:szCs w:val="22"/>
        </w:rPr>
      </w:pPr>
    </w:p>
    <w:p w14:paraId="2EEEABC1" w14:textId="77777777" w:rsidR="00F753A3" w:rsidRDefault="00F753A3" w:rsidP="00C83DA2">
      <w:pPr>
        <w:spacing w:after="0" w:line="276" w:lineRule="auto"/>
        <w:ind w:firstLine="567"/>
        <w:jc w:val="both"/>
        <w:rPr>
          <w:sz w:val="22"/>
          <w:szCs w:val="22"/>
        </w:rPr>
      </w:pPr>
    </w:p>
    <w:p w14:paraId="4C85497A" w14:textId="77777777" w:rsidR="00973204" w:rsidRDefault="00973204" w:rsidP="00C83DA2">
      <w:pPr>
        <w:spacing w:after="0" w:line="276" w:lineRule="auto"/>
        <w:ind w:firstLine="567"/>
        <w:jc w:val="both"/>
        <w:rPr>
          <w:sz w:val="22"/>
          <w:szCs w:val="22"/>
        </w:rPr>
      </w:pPr>
    </w:p>
    <w:p w14:paraId="16D1E865" w14:textId="52693D75" w:rsidR="002A2D5D" w:rsidRPr="00973204" w:rsidRDefault="002A2D5D" w:rsidP="00C83DA2">
      <w:pPr>
        <w:pStyle w:val="PargrafodaLista"/>
        <w:numPr>
          <w:ilvl w:val="0"/>
          <w:numId w:val="1"/>
        </w:numPr>
        <w:spacing w:after="0" w:line="276" w:lineRule="auto"/>
        <w:ind w:left="851" w:hanging="284"/>
        <w:jc w:val="both"/>
        <w:rPr>
          <w:b/>
          <w:bCs/>
          <w:sz w:val="22"/>
          <w:szCs w:val="22"/>
        </w:rPr>
      </w:pPr>
      <w:r w:rsidRPr="00973204">
        <w:rPr>
          <w:b/>
          <w:bCs/>
          <w:sz w:val="22"/>
          <w:szCs w:val="22"/>
        </w:rPr>
        <w:t>Introduction</w:t>
      </w:r>
    </w:p>
    <w:p w14:paraId="5F9B56F7" w14:textId="77777777" w:rsidR="00DF585D" w:rsidRPr="00973204" w:rsidRDefault="00DF585D" w:rsidP="00C83DA2">
      <w:pPr>
        <w:spacing w:after="0" w:line="276" w:lineRule="auto"/>
        <w:ind w:firstLine="567"/>
        <w:jc w:val="both"/>
        <w:rPr>
          <w:sz w:val="22"/>
          <w:szCs w:val="22"/>
        </w:rPr>
      </w:pPr>
    </w:p>
    <w:p w14:paraId="6729E8C6" w14:textId="65BFAD05" w:rsidR="002A2D5D" w:rsidRPr="00973204" w:rsidRDefault="002A2D5D" w:rsidP="00C83DA2">
      <w:pPr>
        <w:spacing w:after="0" w:line="276" w:lineRule="auto"/>
        <w:ind w:firstLine="567"/>
        <w:jc w:val="both"/>
        <w:rPr>
          <w:sz w:val="22"/>
          <w:szCs w:val="22"/>
        </w:rPr>
      </w:pPr>
      <w:r w:rsidRPr="00973204">
        <w:rPr>
          <w:sz w:val="22"/>
          <w:szCs w:val="22"/>
        </w:rPr>
        <w:lastRenderedPageBreak/>
        <w:t xml:space="preserve">The digital transformation of governments is advancing in such a way that institutional changes in public administration are driven by the digitization of services, a focus on user experience, and design-oriented approaches aimed at greater efficiency and consistency of government action in society. The concept of digital transformation is a process of institutional change related to the adoption of digital technologies ( Vial , 2019). It also implies the platformization of governments with the adoption of interoperability standards and standardized interactions between citizens and governments in interfaces that bring together all public services in one place (van </w:t>
      </w:r>
      <w:r w:rsidR="005A7461">
        <w:rPr>
          <w:sz w:val="22"/>
          <w:szCs w:val="22"/>
        </w:rPr>
        <w:t>Dijck , Poell , and Waal, 2018; Kim, Andersen, and Lee, 2021).</w:t>
      </w:r>
    </w:p>
    <w:p w14:paraId="1F9CEDBB" w14:textId="3B2F4688" w:rsidR="004E34E2" w:rsidRDefault="002A2D5D" w:rsidP="00C83DA2">
      <w:pPr>
        <w:spacing w:after="0" w:line="276" w:lineRule="auto"/>
        <w:ind w:firstLine="567"/>
        <w:jc w:val="both"/>
        <w:rPr>
          <w:sz w:val="22"/>
          <w:szCs w:val="22"/>
        </w:rPr>
      </w:pPr>
      <w:r w:rsidRPr="00973204">
        <w:rPr>
          <w:sz w:val="22"/>
          <w:szCs w:val="22"/>
        </w:rPr>
        <w:t xml:space="preserve">The digitalization of governments means the transfer of public services and processes to computer systems. This transfer, in turn, implies processes of institutional change through socio-technical means, in which the interfaces of these computer systems define the possibilities for action and choice for the citizens who interact with them – </w:t>
      </w:r>
      <w:r w:rsidR="740D7532" w:rsidRPr="00973204">
        <w:rPr>
          <w:i/>
          <w:iCs/>
          <w:sz w:val="22"/>
          <w:szCs w:val="22"/>
        </w:rPr>
        <w:t>affordances.</w:t>
      </w:r>
      <w:r w:rsidR="00C11BD9">
        <w:rPr>
          <w:i/>
          <w:iCs/>
          <w:sz w:val="22"/>
          <w:szCs w:val="22"/>
        </w:rPr>
        <w:t xml:space="preserve"> </w:t>
      </w:r>
      <w:r w:rsidR="00C11BD9">
        <w:rPr>
          <w:sz w:val="22"/>
          <w:szCs w:val="22"/>
        </w:rPr>
        <w:t>– producing diverse results for society</w:t>
      </w:r>
      <w:r w:rsidR="4DABE0B8" w:rsidRPr="00973204">
        <w:rPr>
          <w:i/>
          <w:iCs/>
          <w:sz w:val="22"/>
          <w:szCs w:val="22"/>
        </w:rPr>
        <w:t xml:space="preserve"> </w:t>
      </w:r>
      <w:r w:rsidR="4DABE0B8" w:rsidRPr="00973204">
        <w:rPr>
          <w:sz w:val="22"/>
          <w:szCs w:val="22"/>
        </w:rPr>
        <w:t>(Seidel, Berente and Baiyere , 2025).</w:t>
      </w:r>
      <w:r w:rsidR="00035E9B" w:rsidRPr="00973204">
        <w:rPr>
          <w:rStyle w:val="Refdenotaderodap"/>
          <w:sz w:val="22"/>
          <w:szCs w:val="22"/>
        </w:rPr>
        <w:footnoteReference w:id="3"/>
      </w:r>
      <w:r w:rsidR="00F7392A" w:rsidRPr="00973204">
        <w:rPr>
          <w:sz w:val="22"/>
          <w:szCs w:val="22"/>
        </w:rPr>
        <w:t xml:space="preserve"> </w:t>
      </w:r>
    </w:p>
    <w:p w14:paraId="63422AA7" w14:textId="13041B6D" w:rsidR="002A2D5D" w:rsidRPr="00973204" w:rsidRDefault="00F7392A" w:rsidP="00C83DA2">
      <w:pPr>
        <w:spacing w:after="0" w:line="276" w:lineRule="auto"/>
        <w:ind w:firstLine="567"/>
        <w:jc w:val="both"/>
        <w:rPr>
          <w:sz w:val="22"/>
          <w:szCs w:val="22"/>
        </w:rPr>
      </w:pPr>
      <w:r w:rsidRPr="00973204">
        <w:rPr>
          <w:sz w:val="22"/>
          <w:szCs w:val="22"/>
        </w:rPr>
        <w:t xml:space="preserve">Digitization means transforming information into computable objects, allowing information to be converted into data that can be stored and communicated by machines. Furthermore, it signifies the adoption of socio-technical methods to incorporate a set of techniques aimed at improving social and institutional contexts, enabling the optimization of various areas of public policy through the design of computational systems. Digitization constitutes the main point of digital transformation, implying not only a logic of efficiency but also institutional changes that produce </w:t>
      </w:r>
      <w:r w:rsidR="7D0A6634" w:rsidRPr="00973204">
        <w:rPr>
          <w:i/>
          <w:iCs/>
          <w:sz w:val="22"/>
          <w:szCs w:val="22"/>
        </w:rPr>
        <w:t xml:space="preserve">affordances. </w:t>
      </w:r>
      <w:r w:rsidR="7D0A6634" w:rsidRPr="00973204">
        <w:rPr>
          <w:sz w:val="22"/>
          <w:szCs w:val="22"/>
        </w:rPr>
        <w:t>that organize the interactions between citizens and governments (Mendonça, Filgueiras and Almeida, 2023).</w:t>
      </w:r>
    </w:p>
    <w:p w14:paraId="3C07775D" w14:textId="21AB7865" w:rsidR="00F7392A" w:rsidRPr="00973204" w:rsidRDefault="00F7392A" w:rsidP="00C83DA2">
      <w:pPr>
        <w:spacing w:after="0" w:line="276" w:lineRule="auto"/>
        <w:ind w:firstLine="567"/>
        <w:jc w:val="both"/>
        <w:rPr>
          <w:sz w:val="22"/>
          <w:szCs w:val="22"/>
        </w:rPr>
      </w:pPr>
      <w:r w:rsidRPr="00973204">
        <w:rPr>
          <w:sz w:val="22"/>
          <w:szCs w:val="22"/>
        </w:rPr>
        <w:t>The digitalization of the public sector in Brazil has a long journey that began with the creation of the Federal Data Processing Service (Serpro) and state-owned information and communication technology companies throughout the 1960s, culminating in the Gov.br Platform, officially launched in 2019. The Gov.br Platform resulted in a profound digital transformation, representing, in many situations, a silent reform of public administration. Silent because it was not approved through conventional means or structural changes, but through incremental processes that began with digitalization, the creation of the Gov.br Platform interface, and increasing usability among citizens (Filgueiras, 2023). In 2025, for example, 130.6 million people had already been served virtually on the platform, and 3.5 billion authentications had been carried out by September.</w:t>
      </w:r>
      <w:r w:rsidRPr="00973204">
        <w:rPr>
          <w:rStyle w:val="Refdenotaderodap"/>
          <w:sz w:val="22"/>
          <w:szCs w:val="22"/>
        </w:rPr>
        <w:footnoteReference w:id="4"/>
      </w:r>
      <w:r w:rsidRPr="00973204">
        <w:rPr>
          <w:sz w:val="22"/>
          <w:szCs w:val="22"/>
        </w:rPr>
        <w:t xml:space="preserve"> </w:t>
      </w:r>
    </w:p>
    <w:p w14:paraId="2A39E8C8" w14:textId="4555864E" w:rsidR="4F567FBE" w:rsidRPr="00973204" w:rsidRDefault="000C7CCC" w:rsidP="00C83DA2">
      <w:pPr>
        <w:spacing w:after="0" w:line="276" w:lineRule="auto"/>
        <w:ind w:firstLine="567"/>
        <w:jc w:val="both"/>
        <w:rPr>
          <w:sz w:val="22"/>
          <w:szCs w:val="22"/>
        </w:rPr>
      </w:pPr>
      <w:r>
        <w:rPr>
          <w:sz w:val="22"/>
          <w:szCs w:val="22"/>
        </w:rPr>
        <w:t xml:space="preserve">Digitization and the </w:t>
      </w:r>
      <w:r w:rsidR="0A9E8B90" w:rsidRPr="00973204">
        <w:rPr>
          <w:sz w:val="22"/>
          <w:szCs w:val="22"/>
        </w:rPr>
        <w:t xml:space="preserve">institutional changes resulting from the platformization of governments have provided another important advance: the exponential expansion of the volume of administrative and transactional data for various situations and topics of public policy. This expansion of data volume has, in turn, enabled the growing use and reuse of data to accelerate changes in public policy. Data </w:t>
      </w:r>
      <w:r w:rsidR="66D2CCA3" w:rsidRPr="00973204">
        <w:rPr>
          <w:sz w:val="22"/>
          <w:szCs w:val="22"/>
        </w:rPr>
        <w:t xml:space="preserve">creates a new </w:t>
      </w:r>
      <w:r w:rsidR="2D86C976" w:rsidRPr="00973204">
        <w:rPr>
          <w:sz w:val="22"/>
          <w:szCs w:val="22"/>
        </w:rPr>
        <w:t xml:space="preserve">layer of complexity and work </w:t>
      </w:r>
      <w:r w:rsidR="2D86C976" w:rsidRPr="00973204">
        <w:rPr>
          <w:sz w:val="22"/>
          <w:szCs w:val="22"/>
        </w:rPr>
        <w:lastRenderedPageBreak/>
        <w:t xml:space="preserve">in </w:t>
      </w:r>
      <w:r w:rsidR="23B6AA7D" w:rsidRPr="00973204">
        <w:rPr>
          <w:sz w:val="22"/>
          <w:szCs w:val="22"/>
        </w:rPr>
        <w:t xml:space="preserve">public administration, enabling the use of new digital tools, with a special focus on artificial intelligence (AI) systems, blockchain solutions </w:t>
      </w:r>
      <w:r w:rsidR="4F567FBE" w:rsidRPr="00C83DA2">
        <w:rPr>
          <w:i/>
          <w:iCs/>
          <w:sz w:val="22"/>
          <w:szCs w:val="22"/>
        </w:rPr>
        <w:t xml:space="preserve">, </w:t>
      </w:r>
      <w:r w:rsidR="0037288A">
        <w:rPr>
          <w:rStyle w:val="Refdenotaderodap"/>
          <w:i/>
          <w:iCs/>
          <w:sz w:val="22"/>
          <w:szCs w:val="22"/>
        </w:rPr>
        <w:footnoteReference w:id="5"/>
      </w:r>
      <w:r w:rsidR="4F567FBE" w:rsidRPr="00973204">
        <w:rPr>
          <w:sz w:val="22"/>
          <w:szCs w:val="22"/>
        </w:rPr>
        <w:t xml:space="preserve">and data analysis for anticipation and scenario building. The combination of large volumes of data and the increasing adoption of diverse digital tools organizes a new layer of public management: data infrastructures ( </w:t>
      </w:r>
      <w:r w:rsidR="27A55B06" w:rsidRPr="00973204">
        <w:rPr>
          <w:sz w:val="22"/>
          <w:szCs w:val="22"/>
        </w:rPr>
        <w:t>Kitchin , 2014).</w:t>
      </w:r>
    </w:p>
    <w:p w14:paraId="007E0DD3" w14:textId="3533BD10" w:rsidR="38676828" w:rsidRPr="00973204" w:rsidRDefault="519E7F68" w:rsidP="00C83DA2">
      <w:pPr>
        <w:spacing w:after="0" w:line="276" w:lineRule="auto"/>
        <w:ind w:firstLine="567"/>
        <w:jc w:val="both"/>
        <w:rPr>
          <w:sz w:val="22"/>
          <w:szCs w:val="22"/>
        </w:rPr>
      </w:pPr>
      <w:r w:rsidRPr="00973204">
        <w:rPr>
          <w:sz w:val="22"/>
          <w:szCs w:val="22"/>
        </w:rPr>
        <w:t xml:space="preserve">A data infrastructure is the set of technologies, processes, and practices that enable the collection, storage, and processing of data for various purposes ( </w:t>
      </w:r>
      <w:r w:rsidR="6F1AAE87" w:rsidRPr="00973204">
        <w:rPr>
          <w:sz w:val="22"/>
          <w:szCs w:val="22"/>
        </w:rPr>
        <w:t>Kitchin , 2014). Applied to the public sector, this concept implies that a data infrastructure consists of technologies and governance mechanisms that allow for the collection, storage, processing, and, most importantly, the sharing of data that support the formulation, implementation, and evaluation of public policies.</w:t>
      </w:r>
    </w:p>
    <w:p w14:paraId="6E3BC117" w14:textId="26B8DA92" w:rsidR="53FC4713" w:rsidRPr="00973204" w:rsidRDefault="53FC4713" w:rsidP="00C83DA2">
      <w:pPr>
        <w:spacing w:after="0" w:line="276" w:lineRule="auto"/>
        <w:ind w:firstLine="567"/>
        <w:jc w:val="both"/>
        <w:rPr>
          <w:sz w:val="22"/>
          <w:szCs w:val="22"/>
        </w:rPr>
      </w:pPr>
      <w:r w:rsidRPr="00973204">
        <w:rPr>
          <w:sz w:val="22"/>
          <w:szCs w:val="22"/>
        </w:rPr>
        <w:t>The objective of this article is to analyze how governments are adopting data infrastructures as mechanisms for governing public policies. We analyze the construction of the National Education Data Infrastructure (INDE) as a catalyst for innovations in educational policies implemented by the Ministry of Education. The first section addresses the governance of educational policies in the digital age, showing how data infrastructures represent a turning point in the processes and practices of managing educational policies. The second section discusses the construction of INDE, and the third section, the National Education Data Platform. The fourth section critically analyzes the trends and criticisms of this education governance process, aiming to provide an analysis focused on institutional changes.</w:t>
      </w:r>
    </w:p>
    <w:p w14:paraId="421ED741" w14:textId="77777777" w:rsidR="00E770BC" w:rsidRPr="00973204" w:rsidRDefault="00E770BC" w:rsidP="00C83DA2">
      <w:pPr>
        <w:spacing w:after="0" w:line="276" w:lineRule="auto"/>
        <w:ind w:firstLine="567"/>
        <w:jc w:val="both"/>
        <w:rPr>
          <w:sz w:val="22"/>
          <w:szCs w:val="22"/>
        </w:rPr>
      </w:pPr>
    </w:p>
    <w:p w14:paraId="71EB28D2" w14:textId="34EBECF4" w:rsidR="002A2D5D" w:rsidRPr="00973204" w:rsidRDefault="00007CB7" w:rsidP="00C83DA2">
      <w:pPr>
        <w:pStyle w:val="PargrafodaLista"/>
        <w:numPr>
          <w:ilvl w:val="0"/>
          <w:numId w:val="1"/>
        </w:numPr>
        <w:spacing w:after="0" w:line="276" w:lineRule="auto"/>
        <w:ind w:left="993" w:hanging="426"/>
        <w:jc w:val="both"/>
        <w:rPr>
          <w:b/>
          <w:bCs/>
          <w:sz w:val="22"/>
          <w:szCs w:val="22"/>
        </w:rPr>
      </w:pPr>
      <w:r w:rsidRPr="00973204">
        <w:rPr>
          <w:b/>
          <w:bCs/>
          <w:sz w:val="22"/>
          <w:szCs w:val="22"/>
        </w:rPr>
        <w:t>Governance of educational policies in the digital age.</w:t>
      </w:r>
    </w:p>
    <w:p w14:paraId="319B8E2C" w14:textId="77777777" w:rsidR="00DF585D" w:rsidRPr="00973204" w:rsidRDefault="00DF585D" w:rsidP="00C83DA2">
      <w:pPr>
        <w:spacing w:after="0" w:line="276" w:lineRule="auto"/>
        <w:ind w:firstLine="567"/>
        <w:jc w:val="both"/>
        <w:rPr>
          <w:sz w:val="22"/>
          <w:szCs w:val="22"/>
        </w:rPr>
      </w:pPr>
    </w:p>
    <w:p w14:paraId="6AE982F1" w14:textId="42815A6B" w:rsidR="00007CB7" w:rsidRPr="00973204" w:rsidRDefault="00007CB7" w:rsidP="00C83DA2">
      <w:pPr>
        <w:spacing w:after="0" w:line="276" w:lineRule="auto"/>
        <w:ind w:firstLine="567"/>
        <w:jc w:val="both"/>
        <w:rPr>
          <w:sz w:val="22"/>
          <w:szCs w:val="22"/>
        </w:rPr>
      </w:pPr>
      <w:r w:rsidRPr="00973204">
        <w:rPr>
          <w:sz w:val="22"/>
          <w:szCs w:val="22"/>
        </w:rPr>
        <w:t xml:space="preserve">The governance of educational policies in Brazil has historically been marked by tensions between normative centralization and federative decentralization. Since the 1988 Constitution, the organization of national education has been based on a collaborative regime between the Union, states, the Federal District, and municipalities, combining subnational autonomy with federal coordination. This arrangement, however, has always presented challenges related to the heterogeneity of administrative capacities, institutional fragmentation, and fiscal and technical asymmetries among the federated entities </w:t>
      </w:r>
      <w:r w:rsidR="00493D77" w:rsidRPr="00973204">
        <w:rPr>
          <w:sz w:val="22"/>
          <w:szCs w:val="22"/>
        </w:rPr>
        <w:t xml:space="preserve">(Segatto, Silva &amp; Abrucio, 2023; </w:t>
      </w:r>
      <w:r w:rsidR="00174DF4">
        <w:rPr>
          <w:sz w:val="22"/>
          <w:szCs w:val="22"/>
        </w:rPr>
        <w:t>Arretche , 2012).</w:t>
      </w:r>
    </w:p>
    <w:p w14:paraId="7E07FB38" w14:textId="58F99241" w:rsidR="00007CB7" w:rsidRPr="00973204" w:rsidRDefault="00007CB7" w:rsidP="00C83DA2">
      <w:pPr>
        <w:spacing w:after="0" w:line="276" w:lineRule="auto"/>
        <w:ind w:firstLine="567"/>
        <w:jc w:val="both"/>
        <w:rPr>
          <w:sz w:val="22"/>
          <w:szCs w:val="22"/>
        </w:rPr>
      </w:pPr>
      <w:r w:rsidRPr="00973204">
        <w:rPr>
          <w:sz w:val="22"/>
          <w:szCs w:val="22"/>
        </w:rPr>
        <w:t xml:space="preserve">Over the last two decades, this model has been progressively overtaken by digitization processes that have reconfigured the foundations of public action. The incorporation of digital technologies has not only introduced new management tools but has profoundly altered the ways in which educational policies are coordinated, monitored, and evaluated. Governance now operates through information systems, digital platforms, and data infrastructures that structure decision-making flows, define performance </w:t>
      </w:r>
      <w:r w:rsidRPr="00973204">
        <w:rPr>
          <w:sz w:val="22"/>
          <w:szCs w:val="22"/>
        </w:rPr>
        <w:lastRenderedPageBreak/>
        <w:t>parameters, and reorganize institutional relationships as the federal government, states, the Federal District, and municipalities adopt educational platforms and management systems.</w:t>
      </w:r>
    </w:p>
    <w:p w14:paraId="23A3DBCF" w14:textId="1CA5E5FD" w:rsidR="006B1CCD" w:rsidRDefault="00261213">
      <w:pPr>
        <w:spacing w:after="0" w:line="276" w:lineRule="auto"/>
        <w:ind w:firstLine="567"/>
        <w:jc w:val="both"/>
        <w:rPr>
          <w:sz w:val="22"/>
          <w:szCs w:val="22"/>
        </w:rPr>
      </w:pPr>
      <w:r>
        <w:rPr>
          <w:sz w:val="22"/>
          <w:szCs w:val="22"/>
        </w:rPr>
        <w:t>The INDE (National Education Development Index) journey begins with the Basic Education Census, which collects administrative information on students, enrollment in basic education, school performance, and research information on school infrastructure conditions and other social data. Similarly, the Basic Education Census deals with administrative data on teachers, performance, and results. The Basic Education Census is fundamental as a public policy instrument, providing the essential means of information management in the context of national education. Data from the Basic Education Census organizes distributive education policies, such as the textbooks of the National Textbook Program (PNLD), the National School Feeding Program (PNAE), and the National School Transportation Support Program (PNATE).</w:t>
      </w:r>
    </w:p>
    <w:p w14:paraId="1979FEFB" w14:textId="080D4493" w:rsidR="00891DB0" w:rsidRDefault="50BE1D62" w:rsidP="00891DB0">
      <w:pPr>
        <w:spacing w:after="0" w:line="276" w:lineRule="auto"/>
        <w:ind w:firstLine="567"/>
        <w:jc w:val="both"/>
        <w:rPr>
          <w:sz w:val="22"/>
          <w:szCs w:val="22"/>
        </w:rPr>
      </w:pPr>
      <w:r w:rsidRPr="00973204">
        <w:rPr>
          <w:sz w:val="22"/>
          <w:szCs w:val="22"/>
        </w:rPr>
        <w:t>The production of data and information has become central to policymaking, as exemplified by national learning assessments and the Basic Education Development Index (IDEB), which is based on a combination of student performance in Portuguese and mathematics with overall school achievement. The data that underpin the IDEB are fundamental to the organization of educational policies. Similarly, data that organize the VAAR (Value Student-Year by Result) are fundamental for the distribution and supplementation of resources from the Fund for the Maintenance and Development of Basic Education and the Valorization of Education Professionals (FUNDEB) for states and municipalities. In other words, Brazil is already on a journey towards producing data infrastructures that organize the entire governance of the educational system.</w:t>
      </w:r>
    </w:p>
    <w:p w14:paraId="10AC3E8D" w14:textId="3125EE12" w:rsidR="00400465" w:rsidRPr="00973204" w:rsidRDefault="2C7294EB" w:rsidP="00C83DA2">
      <w:pPr>
        <w:spacing w:after="0" w:line="276" w:lineRule="auto"/>
        <w:ind w:firstLine="567"/>
        <w:jc w:val="both"/>
        <w:rPr>
          <w:sz w:val="22"/>
          <w:szCs w:val="22"/>
        </w:rPr>
      </w:pPr>
      <w:r w:rsidRPr="00973204">
        <w:rPr>
          <w:sz w:val="22"/>
          <w:szCs w:val="22"/>
        </w:rPr>
        <w:t xml:space="preserve">Another more recent example of this movement is the management of the Pé-de-Meia Program. Created by Law No. 14,818 of January 16, 2024, the program offers financial incentives to high school students to encourage them to remain in and complete their studies, as well as participate in national and subnational educational exams. Eligible students for the Pé-de-Meia Program are those enrolled in regular high school in public schools and aged between 14 and 24, or those enrolled in adult education programs (EJA) in public schools and aged between 19 and 24. In addition, the student must be a member of a family registered in the Unified Registry for Social Programs of the Federal Government ( </w:t>
      </w:r>
      <w:r w:rsidR="00400465" w:rsidRPr="00973204">
        <w:rPr>
          <w:sz w:val="22"/>
          <w:szCs w:val="22"/>
        </w:rPr>
        <w:t>CadÚnico ) – another data infrastructure – and have an income per person of up to half the minimum wage, and be regularly registered in the Individual Taxpayer Registry (CPF). The Pé-de-Meia Program also requires compliance with the condition of a minimum of 80% average school attendance in the month of payment.</w:t>
      </w:r>
    </w:p>
    <w:p w14:paraId="5A6F886D" w14:textId="69EEF040" w:rsidR="005E7B95" w:rsidRPr="00973204" w:rsidRDefault="00400465" w:rsidP="00C83DA2">
      <w:pPr>
        <w:spacing w:after="0" w:line="276" w:lineRule="auto"/>
        <w:ind w:firstLine="567"/>
        <w:jc w:val="both"/>
        <w:rPr>
          <w:sz w:val="22"/>
          <w:szCs w:val="22"/>
        </w:rPr>
      </w:pPr>
      <w:r w:rsidRPr="00973204">
        <w:rPr>
          <w:sz w:val="22"/>
          <w:szCs w:val="22"/>
        </w:rPr>
        <w:t xml:space="preserve">All management of the </w:t>
      </w:r>
      <w:r w:rsidR="009A6432">
        <w:rPr>
          <w:sz w:val="22"/>
          <w:szCs w:val="22"/>
        </w:rPr>
        <w:t>Pé-de-Meia Program, which involves eligibility for the Program and payments made directly to the student's account by Caixa Econômica Federal, is carried out through the Present Management System (SGP). This system manages student enrollments, Program eligibility, and payment flows by sharing enrollment and attendance data between the Federal Government, states, the Federal District, and municipalities. The federative entities share all student enrollment data, creating a database of Brazilian public secondary education capable of organizing and establishing parameters for other policies targeting these students.</w:t>
      </w:r>
    </w:p>
    <w:p w14:paraId="3F9E3185" w14:textId="2080D158" w:rsidR="00433C92" w:rsidRPr="00973204" w:rsidRDefault="0084171F" w:rsidP="00C83DA2">
      <w:pPr>
        <w:spacing w:after="0" w:line="276" w:lineRule="auto"/>
        <w:ind w:firstLine="567"/>
        <w:jc w:val="both"/>
        <w:rPr>
          <w:sz w:val="22"/>
          <w:szCs w:val="22"/>
        </w:rPr>
      </w:pPr>
      <w:r w:rsidRPr="00973204">
        <w:rPr>
          <w:sz w:val="22"/>
          <w:szCs w:val="22"/>
        </w:rPr>
        <w:t xml:space="preserve">The adoption of the SGP (School Management System) occurs through the adhesion of federative entities. The SGP makes it possible to reorganize the bases of important </w:t>
      </w:r>
      <w:r w:rsidRPr="00973204">
        <w:rPr>
          <w:sz w:val="22"/>
          <w:szCs w:val="22"/>
        </w:rPr>
        <w:lastRenderedPageBreak/>
        <w:t>policies in Brazilian basic education, considering a shared data infrastructure among federative entities that enables eligibility, payments, and a new structure for policy implementation through data flows. Due to regional and municipal inequalities, the MEC (Ministry of Education) also provides the Present Management System at School (GPE), in order to support school management directly in schools, organizing, with distinct data layers and artificial intelligence applications, the waiting list for daycare centers, monitoring of school trajectories, monitoring of dropout rates, and other support applications.</w:t>
      </w:r>
    </w:p>
    <w:p w14:paraId="346254C9" w14:textId="7250EA7F" w:rsidR="00B26DD0" w:rsidRDefault="00007CB7" w:rsidP="00C83DA2">
      <w:pPr>
        <w:spacing w:after="0" w:line="276" w:lineRule="auto"/>
        <w:ind w:firstLine="567"/>
        <w:jc w:val="both"/>
        <w:rPr>
          <w:sz w:val="22"/>
          <w:szCs w:val="22"/>
        </w:rPr>
      </w:pPr>
      <w:r w:rsidRPr="00973204">
        <w:rPr>
          <w:sz w:val="22"/>
          <w:szCs w:val="22"/>
        </w:rPr>
        <w:t>This movement is part of a broader transformation of the contemporary state, which involves not simply the creation of systems, but the intensive use and reuse of data to change the relationship between governments and society. Data flows and is shared in real time, amplifying the efficiency of educational policies. Digital transformation is organized in distinct and mutually dependent layers. In the first layer, or base, we have data infrastructures, algorithmically reorganizing the collection, processing, and intensive sharing of data. In the second (intermediate) layer, we have the algorithms, where business rules, normative attributes (who does what, where, and when), and the objects that motivate action are structured. In the third layer, we have the applications, where interactions between citizens and governments are organized. Figure 1 below illustrates this logic of contemporary digital transformation.</w:t>
      </w:r>
    </w:p>
    <w:p w14:paraId="413D6C18" w14:textId="77777777" w:rsidR="00B26DD0" w:rsidRDefault="00B26DD0" w:rsidP="00C83DA2">
      <w:pPr>
        <w:spacing w:after="0" w:line="276" w:lineRule="auto"/>
        <w:ind w:firstLine="567"/>
        <w:jc w:val="both"/>
        <w:rPr>
          <w:sz w:val="22"/>
          <w:szCs w:val="22"/>
        </w:rPr>
      </w:pPr>
    </w:p>
    <w:p w14:paraId="0C561F41" w14:textId="69EDEC02" w:rsidR="00B26DD0" w:rsidRDefault="00F21860" w:rsidP="00C2086C">
      <w:pPr>
        <w:spacing w:after="0" w:line="276" w:lineRule="auto"/>
        <w:jc w:val="center"/>
        <w:rPr>
          <w:sz w:val="22"/>
          <w:szCs w:val="22"/>
        </w:rPr>
      </w:pPr>
      <w:r>
        <w:rPr>
          <w:b/>
          <w:bCs/>
          <w:sz w:val="22"/>
          <w:szCs w:val="22"/>
        </w:rPr>
        <w:t>Figure 1. Layers of the digital transformation of governments.</w:t>
      </w:r>
    </w:p>
    <w:p w14:paraId="10B9EBDC" w14:textId="3138B2D9" w:rsidR="00B26DD0" w:rsidRPr="00B26DD0" w:rsidRDefault="00B26DD0" w:rsidP="00C83DA2">
      <w:pPr>
        <w:spacing w:after="0" w:line="276" w:lineRule="auto"/>
        <w:jc w:val="center"/>
        <w:rPr>
          <w:sz w:val="22"/>
          <w:szCs w:val="22"/>
        </w:rPr>
      </w:pPr>
      <w:r w:rsidRPr="00B26DD0">
        <w:rPr>
          <w:noProof/>
          <w:sz w:val="22"/>
          <w:szCs w:val="22"/>
        </w:rPr>
        <w:drawing>
          <wp:inline distT="0" distB="0" distL="0" distR="0" wp14:anchorId="6C22DE60" wp14:editId="4B249406">
            <wp:extent cx="2724150" cy="2233393"/>
            <wp:effectExtent l="0" t="0" r="0" b="0"/>
            <wp:docPr id="1715813658" name="Imagem 2" descr="Interface gráfica do usuári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13658" name="Imagem 2" descr="Interface gráfica do usuário, Texto&#10;&#10;O conteúdo gerado por IA pode estar incorre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1572" cy="2247677"/>
                    </a:xfrm>
                    <a:prstGeom prst="rect">
                      <a:avLst/>
                    </a:prstGeom>
                    <a:noFill/>
                    <a:ln>
                      <a:noFill/>
                    </a:ln>
                  </pic:spPr>
                </pic:pic>
              </a:graphicData>
            </a:graphic>
          </wp:inline>
        </w:drawing>
      </w:r>
    </w:p>
    <w:p w14:paraId="529D05BF" w14:textId="7031170C" w:rsidR="00B26DD0" w:rsidRPr="00C83DA2" w:rsidRDefault="00306B49" w:rsidP="00C83DA2">
      <w:pPr>
        <w:spacing w:after="0" w:line="276" w:lineRule="auto"/>
        <w:ind w:firstLine="567"/>
        <w:jc w:val="both"/>
        <w:rPr>
          <w:sz w:val="20"/>
          <w:szCs w:val="20"/>
        </w:rPr>
      </w:pPr>
      <w:r w:rsidRPr="00C83DA2">
        <w:rPr>
          <w:sz w:val="20"/>
          <w:szCs w:val="20"/>
        </w:rPr>
        <w:t>Source: author's own elaboration.</w:t>
      </w:r>
    </w:p>
    <w:p w14:paraId="6E89E83E" w14:textId="77777777" w:rsidR="00B26DD0" w:rsidRDefault="00B26DD0" w:rsidP="00C83DA2">
      <w:pPr>
        <w:spacing w:after="0" w:line="276" w:lineRule="auto"/>
        <w:ind w:firstLine="567"/>
        <w:jc w:val="both"/>
        <w:rPr>
          <w:sz w:val="22"/>
          <w:szCs w:val="22"/>
        </w:rPr>
      </w:pPr>
    </w:p>
    <w:p w14:paraId="19D441F8" w14:textId="02AF0990" w:rsidR="00007CB7" w:rsidRPr="00973204" w:rsidRDefault="00C05701" w:rsidP="00C83DA2">
      <w:pPr>
        <w:spacing w:after="0" w:line="276" w:lineRule="auto"/>
        <w:ind w:firstLine="567"/>
        <w:jc w:val="both"/>
        <w:rPr>
          <w:sz w:val="22"/>
          <w:szCs w:val="22"/>
        </w:rPr>
      </w:pPr>
      <w:r>
        <w:rPr>
          <w:sz w:val="22"/>
          <w:szCs w:val="22"/>
        </w:rPr>
        <w:t xml:space="preserve">The contemporary digital transformation </w:t>
      </w:r>
      <w:r w:rsidR="001204D5">
        <w:rPr>
          <w:sz w:val="22"/>
          <w:szCs w:val="22"/>
        </w:rPr>
        <w:t xml:space="preserve">of governments is characterized by the intensive use of data, the increasing centralization and sharing of information, the presence of algorithmic systems mediating the formulation and implementation of public policies, and applications structuring the relationships between citizens and governments. As argued by </w:t>
      </w:r>
      <w:r w:rsidR="00007CB7" w:rsidRPr="00973204">
        <w:rPr>
          <w:sz w:val="22"/>
          <w:szCs w:val="22"/>
        </w:rPr>
        <w:t xml:space="preserve">Kitchin (2014) and Janssen et al. (2020), the data-driven state emerges as a form of government in which decisions are mediated by informational infrastructures capable of producing continuous diagnoses, predictions, and evaluations. In other words, digital transformation expands into </w:t>
      </w:r>
      <w:r w:rsidR="004808C2" w:rsidRPr="00973204">
        <w:rPr>
          <w:i/>
          <w:iCs/>
          <w:sz w:val="22"/>
          <w:szCs w:val="22"/>
        </w:rPr>
        <w:t xml:space="preserve">affordances </w:t>
      </w:r>
      <w:r w:rsidR="004808C2" w:rsidRPr="00973204">
        <w:rPr>
          <w:sz w:val="22"/>
          <w:szCs w:val="22"/>
        </w:rPr>
        <w:t xml:space="preserve">that amplify the possibilities for educational policymakers to define the arrangements for implementing educational policies, as well as the possibilities for citizen choices and action. In the educational field, this </w:t>
      </w:r>
      <w:r w:rsidR="0084171F" w:rsidRPr="00973204">
        <w:rPr>
          <w:i/>
          <w:iCs/>
          <w:sz w:val="22"/>
          <w:szCs w:val="22"/>
        </w:rPr>
        <w:t xml:space="preserve">rationale </w:t>
      </w:r>
      <w:r w:rsidR="00007CB7" w:rsidRPr="00973204">
        <w:rPr>
          <w:sz w:val="22"/>
          <w:szCs w:val="22"/>
        </w:rPr>
        <w:t xml:space="preserve">is expressed in the proliferation of large-scale assessment systems, longitudinal databases, and school management platforms organizing administrative data, enabling new modalities </w:t>
      </w:r>
      <w:r w:rsidR="00007CB7" w:rsidRPr="00973204">
        <w:rPr>
          <w:sz w:val="22"/>
          <w:szCs w:val="22"/>
        </w:rPr>
        <w:lastRenderedPageBreak/>
        <w:t>of coordinated, co-produced governance directly related to the experience of students and teachers in the educational system.</w:t>
      </w:r>
    </w:p>
    <w:p w14:paraId="7EF3922B" w14:textId="100E79AF" w:rsidR="00007CB7" w:rsidRPr="00973204" w:rsidRDefault="00007CB7" w:rsidP="00C83DA2">
      <w:pPr>
        <w:spacing w:after="0" w:line="276" w:lineRule="auto"/>
        <w:ind w:firstLine="567"/>
        <w:jc w:val="both"/>
        <w:rPr>
          <w:sz w:val="22"/>
          <w:szCs w:val="22"/>
        </w:rPr>
      </w:pPr>
      <w:r w:rsidRPr="00973204">
        <w:rPr>
          <w:sz w:val="22"/>
          <w:szCs w:val="22"/>
        </w:rPr>
        <w:t>In this context, educational governance ceases to be sustained solely by legal norms and administrative arrangements and begins to depend on socio-technical architectures that materialize political decisions into codes, protocols, and interoperability standards. These devices not only operationalize policies but also produce categories, metrics, and classifications that reshape the very understanding of what constitutes educational quality, school performance, or equity. In other words, data infrastructures, algorithms, and applications reshape the organization of Brazilian education, altering decision-making practices regarding the formulation, implementation, and evaluation of educational policies.</w:t>
      </w:r>
    </w:p>
    <w:p w14:paraId="613B7BF9" w14:textId="623CCEEC" w:rsidR="00007CB7" w:rsidRPr="00973204" w:rsidRDefault="00007CB7" w:rsidP="00C83DA2">
      <w:pPr>
        <w:spacing w:after="0" w:line="276" w:lineRule="auto"/>
        <w:ind w:firstLine="567"/>
        <w:jc w:val="both"/>
        <w:rPr>
          <w:sz w:val="22"/>
          <w:szCs w:val="22"/>
        </w:rPr>
      </w:pPr>
      <w:r w:rsidRPr="00973204">
        <w:rPr>
          <w:sz w:val="22"/>
          <w:szCs w:val="22"/>
        </w:rPr>
        <w:t>The collaborative regime, traditionally conceived as a political-administrative arrangement, is being reconfigured as an informational regime based on data shared between federative entities. The articulation between federated entities increasingly depends on the capacity to share data, align systems, and interoperate platforms. This transformation expands the State's coordination capacity, creating a new layer in the digital transformation process that goes beyond the digitization of public services. In other words, data infrastructures enable a new standard of education governance, grounded in intensive sharing between federated entities for different policy objectives.</w:t>
      </w:r>
    </w:p>
    <w:p w14:paraId="420FDF24" w14:textId="112D3C10" w:rsidR="00007CB7" w:rsidRDefault="00007CB7">
      <w:pPr>
        <w:spacing w:after="0" w:line="276" w:lineRule="auto"/>
        <w:ind w:firstLine="567"/>
        <w:jc w:val="both"/>
        <w:rPr>
          <w:sz w:val="22"/>
          <w:szCs w:val="22"/>
        </w:rPr>
      </w:pPr>
      <w:r w:rsidRPr="00973204">
        <w:rPr>
          <w:sz w:val="22"/>
          <w:szCs w:val="22"/>
        </w:rPr>
        <w:t xml:space="preserve">Thus, digital governance in education cannot be understood merely as a process of administrative modernization of public services. It demonstrates a socio-technical reconfiguration involving symbolic, institutional, and political disputes over who defines public problems, how data is collected, handled, and </w:t>
      </w:r>
      <w:r w:rsidR="00A84AE2">
        <w:rPr>
          <w:sz w:val="22"/>
          <w:szCs w:val="22"/>
        </w:rPr>
        <w:t xml:space="preserve">processed, what </w:t>
      </w:r>
      <w:r w:rsidRPr="00973204">
        <w:rPr>
          <w:sz w:val="22"/>
          <w:szCs w:val="22"/>
        </w:rPr>
        <w:t>data matters, and how knowledge is produced and mobilized in the formulation of educational policies.</w:t>
      </w:r>
    </w:p>
    <w:p w14:paraId="60FE3293" w14:textId="77777777" w:rsidR="006F4A6A" w:rsidRDefault="006F4A6A">
      <w:pPr>
        <w:spacing w:after="0" w:line="276" w:lineRule="auto"/>
        <w:ind w:firstLine="567"/>
        <w:jc w:val="both"/>
        <w:rPr>
          <w:sz w:val="22"/>
          <w:szCs w:val="22"/>
        </w:rPr>
      </w:pPr>
    </w:p>
    <w:p w14:paraId="1CDB8905" w14:textId="7C7237FB" w:rsidR="00007CB7" w:rsidRPr="00973204" w:rsidRDefault="008213D5" w:rsidP="00C83DA2">
      <w:pPr>
        <w:pStyle w:val="PargrafodaLista"/>
        <w:numPr>
          <w:ilvl w:val="0"/>
          <w:numId w:val="1"/>
        </w:numPr>
        <w:spacing w:after="0" w:line="276" w:lineRule="auto"/>
        <w:ind w:left="993" w:hanging="426"/>
        <w:jc w:val="both"/>
        <w:rPr>
          <w:b/>
          <w:bCs/>
          <w:sz w:val="22"/>
          <w:szCs w:val="22"/>
        </w:rPr>
      </w:pPr>
      <w:r w:rsidRPr="00973204">
        <w:rPr>
          <w:b/>
          <w:bCs/>
          <w:sz w:val="22"/>
          <w:szCs w:val="22"/>
        </w:rPr>
        <w:t>The National Education Data Infrastructure</w:t>
      </w:r>
    </w:p>
    <w:p w14:paraId="6BDA175B" w14:textId="77777777" w:rsidR="00DF585D" w:rsidRPr="00973204" w:rsidRDefault="00DF585D" w:rsidP="00C83DA2">
      <w:pPr>
        <w:spacing w:after="0" w:line="276" w:lineRule="auto"/>
        <w:ind w:firstLine="567"/>
        <w:jc w:val="both"/>
        <w:rPr>
          <w:sz w:val="22"/>
          <w:szCs w:val="22"/>
        </w:rPr>
      </w:pPr>
    </w:p>
    <w:p w14:paraId="503DEE44" w14:textId="41635107" w:rsidR="005805FF" w:rsidRPr="00973204" w:rsidRDefault="00007CB7" w:rsidP="00C83DA2">
      <w:pPr>
        <w:spacing w:after="0" w:line="276" w:lineRule="auto"/>
        <w:ind w:firstLine="567"/>
        <w:jc w:val="both"/>
        <w:rPr>
          <w:sz w:val="22"/>
          <w:szCs w:val="22"/>
        </w:rPr>
      </w:pPr>
      <w:r w:rsidRPr="00973204">
        <w:rPr>
          <w:sz w:val="22"/>
          <w:szCs w:val="22"/>
        </w:rPr>
        <w:t xml:space="preserve">Public data infrastructures constitute the material foundation of contemporary digital transformation. Unlike isolated systems or point technological solutions, infrastructures are durable ecosystems composed of technologies, norms, institutions, and social practices that support multiple activities over time. </w:t>
      </w:r>
      <w:r w:rsidR="008213D5" w:rsidRPr="00973204">
        <w:rPr>
          <w:sz w:val="22"/>
          <w:szCs w:val="22"/>
        </w:rPr>
        <w:t xml:space="preserve">In other words, governance through data infrastructures means focusing digital transformation on changes in the informational regime and its articulation with public policies ( Dunleavy and Margetts , 2024). Digital transformation ceases to be about legacy systems </w:t>
      </w:r>
      <w:r w:rsidR="00196BCC">
        <w:rPr>
          <w:rStyle w:val="Refdenotaderodap"/>
          <w:sz w:val="22"/>
          <w:szCs w:val="22"/>
        </w:rPr>
        <w:footnoteReference w:id="6"/>
      </w:r>
      <w:r w:rsidR="008213D5" w:rsidRPr="00973204">
        <w:rPr>
          <w:sz w:val="22"/>
          <w:szCs w:val="22"/>
        </w:rPr>
        <w:t>or building systems to solve problems and becomes about the intensive use of data through interoperability and sharing.</w:t>
      </w:r>
    </w:p>
    <w:p w14:paraId="2D2449FA" w14:textId="3C2C2D1F" w:rsidR="00007CB7" w:rsidRPr="00973204" w:rsidRDefault="005805FF" w:rsidP="00C83DA2">
      <w:pPr>
        <w:spacing w:after="0" w:line="276" w:lineRule="auto"/>
        <w:ind w:firstLine="567"/>
        <w:jc w:val="both"/>
        <w:rPr>
          <w:sz w:val="22"/>
          <w:szCs w:val="22"/>
        </w:rPr>
      </w:pPr>
      <w:r w:rsidRPr="00973204">
        <w:rPr>
          <w:sz w:val="22"/>
          <w:szCs w:val="22"/>
        </w:rPr>
        <w:lastRenderedPageBreak/>
        <w:t xml:space="preserve">Infrastructures are “shared means for different purposes” (Frischmann, 2012, our translation). Data infrastructures cover a set of digital instruments to provide a process of social, institutional, and digital reengineering (Frischmann and Selinger , 2018). The social, institutional, and digital reengineering of education signifies a profound institutional change, with data-based technologies and algorithms as fundamental to public policies (Mendonça, Filgueiras, and Almeida, 2023). To characterize a digital infrastructure, resources (data) must be consumed in a non-rivalrous way by an appreciable range of demand. Social demand for data is driven primarily by productive activities that require the resource as an input. Data can be used as a mechanism for a wide range of goods and services, which may include private goods, public goods, and social goods. In other words, data represent a common good </w:t>
      </w:r>
      <w:r w:rsidR="3AD1E7DA" w:rsidRPr="00973204">
        <w:rPr>
          <w:i/>
          <w:iCs/>
          <w:sz w:val="22"/>
          <w:szCs w:val="22"/>
        </w:rPr>
        <w:t xml:space="preserve">, </w:t>
      </w:r>
      <w:r w:rsidR="00724A11" w:rsidRPr="00973204">
        <w:rPr>
          <w:sz w:val="22"/>
          <w:szCs w:val="22"/>
        </w:rPr>
        <w:t xml:space="preserve">creating </w:t>
      </w:r>
      <w:r w:rsidR="00EC120E">
        <w:rPr>
          <w:sz w:val="22"/>
          <w:szCs w:val="22"/>
        </w:rPr>
        <w:t xml:space="preserve">a </w:t>
      </w:r>
      <w:r w:rsidR="00724A11" w:rsidRPr="00973204">
        <w:rPr>
          <w:sz w:val="22"/>
          <w:szCs w:val="22"/>
        </w:rPr>
        <w:t>series of governance challenges (Filgueiras, Almeida and Gaetani, 2020).</w:t>
      </w:r>
    </w:p>
    <w:p w14:paraId="038CCC9C" w14:textId="653E0CE7" w:rsidR="005805FF" w:rsidRPr="00973204" w:rsidRDefault="00724A11" w:rsidP="00C83DA2">
      <w:pPr>
        <w:spacing w:after="0" w:line="276" w:lineRule="auto"/>
        <w:ind w:firstLine="567"/>
        <w:jc w:val="both"/>
        <w:rPr>
          <w:sz w:val="22"/>
          <w:szCs w:val="22"/>
        </w:rPr>
      </w:pPr>
      <w:r w:rsidRPr="00973204">
        <w:rPr>
          <w:sz w:val="22"/>
          <w:szCs w:val="22"/>
        </w:rPr>
        <w:t xml:space="preserve">A public digital infrastructure is an integrated set of technologies, standards, institutions, and organizational practices that enable the collection, processing, sharing, and use and reuse of digital data and services of public interest, in an interoperable, sustainable, and common-good oriented manner ( </w:t>
      </w:r>
      <w:r w:rsidR="00CD7CF1" w:rsidRPr="00973204">
        <w:rPr>
          <w:sz w:val="22"/>
          <w:szCs w:val="22"/>
        </w:rPr>
        <w:t>Mazzucatto , Eaves, and Vasconcelos, 2024). Characteristics of a public digital infrastructure include: (1) data and systems interoperability; (2) data governance standards and protocols; (3) intensive data collection, storage, and sharing processes; (4) use and reuse of data for various public purposes.</w:t>
      </w:r>
    </w:p>
    <w:p w14:paraId="35E91A53" w14:textId="12DAB58D" w:rsidR="00C420F5" w:rsidRPr="00973204" w:rsidRDefault="7D6B83C7" w:rsidP="00C83DA2">
      <w:pPr>
        <w:spacing w:after="0" w:line="276" w:lineRule="auto"/>
        <w:ind w:firstLine="567"/>
        <w:jc w:val="both"/>
        <w:rPr>
          <w:sz w:val="22"/>
          <w:szCs w:val="22"/>
        </w:rPr>
      </w:pPr>
      <w:r w:rsidRPr="00973204">
        <w:rPr>
          <w:sz w:val="22"/>
          <w:szCs w:val="22"/>
        </w:rPr>
        <w:t xml:space="preserve">As an advancement of this perspective on the governance of educational policies, INDE was established by Complementary Law No. 220 of October 30, 2025. The National Education Data Infrastructure aims to "promote interoperability, sharing, quality, and security of educational data from establishments and education systems, ensuring the protection of personal data of </w:t>
      </w:r>
      <w:r w:rsidR="00C420F5" w:rsidRPr="00973204">
        <w:rPr>
          <w:sz w:val="22"/>
          <w:szCs w:val="22"/>
        </w:rPr>
        <w:t xml:space="preserve">students, teachers, and managers, in accordance with Law No. 13,709, of August 14, 2018 (General Law on the Protection of Personal Data) </w:t>
      </w:r>
      <w:r w:rsidR="005F4F47" w:rsidRPr="00973204">
        <w:rPr>
          <w:sz w:val="22"/>
          <w:szCs w:val="22"/>
        </w:rPr>
        <w:t>" (BRAZIL, 2025). According to Complementary Law 220, the Union, through the Ministry of Education, assumes the role of organizing, standardizing, and coordinating INDE, establishing minimum data sets that must be shared between the federative entities and private education systems in all educational cycles. Furthermore, INDE is a strategic component of the National Data Infrastructure, as per Decree No. 12,198 of September 24, 2024, which establishes the Federal Digital Government Strategy.</w:t>
      </w:r>
    </w:p>
    <w:p w14:paraId="2DEB47E2" w14:textId="6B7392EC" w:rsidR="004B094A" w:rsidRDefault="00007CB7" w:rsidP="00C83DA2">
      <w:pPr>
        <w:spacing w:after="0" w:line="276" w:lineRule="auto"/>
        <w:ind w:firstLine="567"/>
        <w:jc w:val="both"/>
        <w:rPr>
          <w:sz w:val="22"/>
          <w:szCs w:val="22"/>
        </w:rPr>
      </w:pPr>
      <w:bookmarkStart w:id="1" w:name="art25"/>
      <w:bookmarkEnd w:id="1"/>
      <w:r w:rsidRPr="00973204">
        <w:rPr>
          <w:sz w:val="22"/>
          <w:szCs w:val="22"/>
        </w:rPr>
        <w:t>In the field of education, the INDE (National Digital Education System) is an institutional innovation that modifies the information regime, playing a strategic role by integrating information on enrollments, school trajectories, teacher training, funding, assessment, and learning. This integration makes it possible to modify the entire process of formulating, implementing, and evaluating educational policies, considering organized and shared data for purposes of public interest and the advancement of educational policies. From the perspective of the INDE, the digital transformation of education in Brazil advances not through legacy systems, but through the intensive sharing of administrative and educational data.</w:t>
      </w:r>
    </w:p>
    <w:p w14:paraId="6436C865" w14:textId="42E60DD3" w:rsidR="00007CB7" w:rsidRPr="00973204" w:rsidRDefault="004B094A" w:rsidP="00C83DA2">
      <w:pPr>
        <w:spacing w:after="0" w:line="276" w:lineRule="auto"/>
        <w:ind w:firstLine="567"/>
        <w:jc w:val="both"/>
        <w:rPr>
          <w:sz w:val="22"/>
          <w:szCs w:val="22"/>
        </w:rPr>
      </w:pPr>
      <w:r>
        <w:rPr>
          <w:sz w:val="22"/>
          <w:szCs w:val="22"/>
        </w:rPr>
        <w:t xml:space="preserve">Additionally, INDE provides means to interoperate data with other government sectors, supporting policies distinct from the education sector. For example, municipalities </w:t>
      </w:r>
      <w:r>
        <w:rPr>
          <w:sz w:val="22"/>
          <w:szCs w:val="22"/>
        </w:rPr>
        <w:lastRenderedPageBreak/>
        <w:t xml:space="preserve">in Brazil establish free public transportation for students enrolled in the University for All Program (PROUNI). To determine if a student is a PROUNI scholarship recipient and avoid requiring them to submit numerous documents and proofs, municipalities use an application programming interface (API) defined by the Ministry of Education (MEC), which returns whether a given student (using their CPF - Brazilian taxpayer identification number) is in the Program's database. </w:t>
      </w:r>
      <w:r w:rsidR="00F8715C">
        <w:rPr>
          <w:rStyle w:val="Refdenotaderodap"/>
          <w:sz w:val="22"/>
          <w:szCs w:val="22"/>
        </w:rPr>
        <w:footnoteReference w:id="7"/>
      </w:r>
      <w:r w:rsidR="000471BF">
        <w:rPr>
          <w:sz w:val="22"/>
          <w:szCs w:val="22"/>
        </w:rPr>
        <w:t>The use of an API avoids bureaucracy and ensures greater data protection, preventing personal data from circulating freely.</w:t>
      </w:r>
    </w:p>
    <w:p w14:paraId="7807DCEA" w14:textId="633502E4" w:rsidR="00007CB7" w:rsidRPr="00973204" w:rsidRDefault="0083549C" w:rsidP="00C83DA2">
      <w:pPr>
        <w:spacing w:after="0" w:line="276" w:lineRule="auto"/>
        <w:ind w:firstLine="567"/>
        <w:jc w:val="both"/>
        <w:rPr>
          <w:sz w:val="22"/>
          <w:szCs w:val="22"/>
        </w:rPr>
      </w:pPr>
      <w:r w:rsidRPr="00973204">
        <w:rPr>
          <w:sz w:val="22"/>
          <w:szCs w:val="22"/>
        </w:rPr>
        <w:t xml:space="preserve">The National Digital Education Infrastructure (INDE) creates a new political arena in which standards, access rules, institutional responsibilities, and control mechanisms are defined. Decisions on interoperability, data governance, and privacy protection reflect power struggles and normative conceptions about the role of the State and the market in the construction of educational policies. The INDE is governed by a tripartite committee with states and municipalities and follows general standards defined in the Federal </w:t>
      </w:r>
      <w:r w:rsidR="004823F5">
        <w:rPr>
          <w:sz w:val="22"/>
          <w:szCs w:val="22"/>
        </w:rPr>
        <w:t xml:space="preserve">Digital Government Strategy. </w:t>
      </w:r>
      <w:r w:rsidR="00007CB7" w:rsidRPr="00973204">
        <w:rPr>
          <w:sz w:val="22"/>
          <w:szCs w:val="22"/>
        </w:rPr>
        <w:t>In the Brazilian context, the emergence of initiatives aimed at integrating educational databases signals an attempt to establish a national education data infrastructure understood as a digital public good, insofar as it produces positive externalities, expands state capacities – including the Union, states, the Federal District, and municipalities – and supports policies of collective interest. However, its consolidation requires robust institutional arrangements capable of balancing centralized coordination and federative autonomy.</w:t>
      </w:r>
    </w:p>
    <w:p w14:paraId="60B2FC02" w14:textId="4BD86A7C" w:rsidR="00007CB7" w:rsidRPr="00973204" w:rsidRDefault="00007CB7" w:rsidP="00C83DA2">
      <w:pPr>
        <w:spacing w:after="0" w:line="276" w:lineRule="auto"/>
        <w:ind w:firstLine="567"/>
        <w:jc w:val="both"/>
        <w:rPr>
          <w:sz w:val="22"/>
          <w:szCs w:val="22"/>
        </w:rPr>
      </w:pPr>
      <w:r w:rsidRPr="00973204">
        <w:rPr>
          <w:sz w:val="22"/>
          <w:szCs w:val="22"/>
        </w:rPr>
        <w:t>Furthermore, the INDE creates the material conditions for the incorporation of disruptive technologies, such as artificial intelligence (AI) systems and predictive analytics. These technologies depend on large volumes of consistent, standardized, interoperable, and responsibly governed data. Thus, the quality of the infrastructure directly conditions the types of innovation possible and the risks associated with the automation of decision-making processes.</w:t>
      </w:r>
    </w:p>
    <w:p w14:paraId="4D7AD46F" w14:textId="381E3D77" w:rsidR="00007CB7" w:rsidRPr="00973204" w:rsidRDefault="00007CB7" w:rsidP="00C83DA2">
      <w:pPr>
        <w:spacing w:after="0" w:line="276" w:lineRule="auto"/>
        <w:ind w:firstLine="567"/>
        <w:jc w:val="both"/>
        <w:rPr>
          <w:sz w:val="22"/>
          <w:szCs w:val="22"/>
        </w:rPr>
      </w:pPr>
      <w:r w:rsidRPr="00973204">
        <w:rPr>
          <w:sz w:val="22"/>
          <w:szCs w:val="22"/>
        </w:rPr>
        <w:t xml:space="preserve">Critical literature, however, warns of the dangers of excessive technification of educational policy. Datafication can reinforce logics of control, surveillance, and performativity, especially when combined with management models driven by metrics and rankings (Ball, 2015). In this sense, the governance of public data infrastructures becomes a strategic field of political dispute, in which it is decided whether digital transformation will serve to expand rights or intensify inequalities (Milan and </w:t>
      </w:r>
      <w:r w:rsidR="00D573C7">
        <w:rPr>
          <w:sz w:val="22"/>
          <w:szCs w:val="22"/>
        </w:rPr>
        <w:t>Trere , 2022).</w:t>
      </w:r>
    </w:p>
    <w:p w14:paraId="5CC7EB81" w14:textId="26A4879A" w:rsidR="17085B26" w:rsidRDefault="17085B26">
      <w:pPr>
        <w:spacing w:after="0" w:line="276" w:lineRule="auto"/>
        <w:ind w:firstLine="567"/>
        <w:jc w:val="both"/>
        <w:rPr>
          <w:sz w:val="22"/>
          <w:szCs w:val="22"/>
        </w:rPr>
      </w:pPr>
      <w:r w:rsidRPr="00973204">
        <w:rPr>
          <w:sz w:val="22"/>
          <w:szCs w:val="22"/>
        </w:rPr>
        <w:lastRenderedPageBreak/>
        <w:t>The National Education Development Index (INDE) is fraught with tensions and incentives, as data sharing is linked to differing political views and perspectives on governmental interventions. Data become strategic resources that guide resource allocation, public recognition of educational networks and institutions, and ultimately, power. Furthermore, data production requires new modalities of administrative, analytical, and political capacities from the Union, states, the Federal District, and municipalities, potentially reproducing or creating inequalities among federative entities. Finally, data infrastructures, by reorganizing the governance of education, create the belief among managers that data represent complete solutions to complex educational problems.</w:t>
      </w:r>
    </w:p>
    <w:p w14:paraId="6CA8900D" w14:textId="77777777" w:rsidR="00103B46" w:rsidRPr="00973204" w:rsidRDefault="00103B46" w:rsidP="00C83DA2">
      <w:pPr>
        <w:spacing w:after="0" w:line="276" w:lineRule="auto"/>
        <w:ind w:firstLine="567"/>
        <w:jc w:val="both"/>
        <w:rPr>
          <w:sz w:val="22"/>
          <w:szCs w:val="22"/>
        </w:rPr>
      </w:pPr>
    </w:p>
    <w:p w14:paraId="66B375D1" w14:textId="77777777" w:rsidR="00E770BC" w:rsidRPr="00973204" w:rsidRDefault="00E770BC" w:rsidP="00C83DA2">
      <w:pPr>
        <w:spacing w:after="0" w:line="276" w:lineRule="auto"/>
        <w:ind w:firstLine="567"/>
        <w:jc w:val="both"/>
        <w:rPr>
          <w:sz w:val="22"/>
          <w:szCs w:val="22"/>
        </w:rPr>
      </w:pPr>
    </w:p>
    <w:p w14:paraId="5A95E153" w14:textId="3ABE352B" w:rsidR="00676FF7" w:rsidRPr="00973204" w:rsidRDefault="00676FF7" w:rsidP="00C83DA2">
      <w:pPr>
        <w:pStyle w:val="PargrafodaLista"/>
        <w:numPr>
          <w:ilvl w:val="0"/>
          <w:numId w:val="1"/>
        </w:numPr>
        <w:spacing w:after="0" w:line="276" w:lineRule="auto"/>
        <w:ind w:left="993" w:hanging="426"/>
        <w:jc w:val="both"/>
        <w:rPr>
          <w:b/>
          <w:bCs/>
          <w:sz w:val="22"/>
          <w:szCs w:val="22"/>
        </w:rPr>
      </w:pPr>
      <w:r w:rsidRPr="00973204">
        <w:rPr>
          <w:b/>
          <w:bCs/>
          <w:sz w:val="22"/>
          <w:szCs w:val="22"/>
        </w:rPr>
        <w:t>The National Education Data Platform</w:t>
      </w:r>
    </w:p>
    <w:p w14:paraId="4BEE74BD" w14:textId="77777777" w:rsidR="00DF585D" w:rsidRPr="00973204" w:rsidRDefault="00DF585D" w:rsidP="00C83DA2">
      <w:pPr>
        <w:spacing w:after="0" w:line="276" w:lineRule="auto"/>
        <w:ind w:firstLine="567"/>
        <w:jc w:val="both"/>
        <w:rPr>
          <w:sz w:val="22"/>
          <w:szCs w:val="22"/>
        </w:rPr>
      </w:pPr>
    </w:p>
    <w:p w14:paraId="635FB7B2" w14:textId="70B1BCCC" w:rsidR="00676FF7" w:rsidRPr="00973204" w:rsidRDefault="00184093" w:rsidP="00C83DA2">
      <w:pPr>
        <w:spacing w:after="0" w:line="276" w:lineRule="auto"/>
        <w:ind w:firstLine="567"/>
        <w:jc w:val="both"/>
        <w:rPr>
          <w:sz w:val="22"/>
          <w:szCs w:val="22"/>
        </w:rPr>
      </w:pPr>
      <w:r w:rsidRPr="00973204">
        <w:rPr>
          <w:sz w:val="22"/>
          <w:szCs w:val="22"/>
        </w:rPr>
        <w:t>In addition to defining interoperability standards and minimum datasets, the INDE (National Education Development Index) includes among its assumptions the sharing of education data through a national platform. In this context, the National Education Data Platform would be the priority locus for consolidating and disseminating "national and regional indicators on school flow, retention, student mobility, school trajectory, dropout and results, in order to support the planning and evaluation of public education policies," as outlined in Complementary Law 220 of 2025.</w:t>
      </w:r>
    </w:p>
    <w:p w14:paraId="0E28846D" w14:textId="3F5EF0AA" w:rsidR="00E241F9" w:rsidRPr="00973204" w:rsidRDefault="00936720" w:rsidP="00C83DA2">
      <w:pPr>
        <w:spacing w:after="0" w:line="276" w:lineRule="auto"/>
        <w:ind w:firstLine="567"/>
        <w:jc w:val="both"/>
        <w:rPr>
          <w:sz w:val="22"/>
          <w:szCs w:val="22"/>
        </w:rPr>
      </w:pPr>
      <w:r w:rsidRPr="00973204">
        <w:rPr>
          <w:sz w:val="22"/>
          <w:szCs w:val="22"/>
        </w:rPr>
        <w:t xml:space="preserve">Given the proliferation of educational systems and data collection sources, a national platform aims to guarantee the reliability and quality of data, facilitate reuse, and foster better decisions in data-informed public policies, always with attention to privacy and the protection of personal data. The existence of a central and </w:t>
      </w:r>
      <w:r w:rsidR="00EE35BE" w:rsidRPr="00973204">
        <w:rPr>
          <w:sz w:val="22"/>
          <w:szCs w:val="22"/>
        </w:rPr>
        <w:t xml:space="preserve">unique platform aims </w:t>
      </w:r>
      <w:r w:rsidR="00F10306" w:rsidRPr="00973204">
        <w:rPr>
          <w:sz w:val="22"/>
          <w:szCs w:val="22"/>
        </w:rPr>
        <w:t>to ensure that data will be used and shared based on inter-federative and inter-institutional governance, but also that the collective interest will prevail over divergent or particular interests.</w:t>
      </w:r>
    </w:p>
    <w:p w14:paraId="530DDABD" w14:textId="77777777" w:rsidR="006E7A9E" w:rsidRDefault="0042675A" w:rsidP="0055377D">
      <w:pPr>
        <w:spacing w:after="0" w:line="276" w:lineRule="auto"/>
        <w:ind w:firstLine="567"/>
        <w:jc w:val="both"/>
        <w:rPr>
          <w:sz w:val="22"/>
          <w:szCs w:val="22"/>
        </w:rPr>
      </w:pPr>
      <w:r w:rsidRPr="00973204">
        <w:rPr>
          <w:sz w:val="22"/>
          <w:szCs w:val="22"/>
        </w:rPr>
        <w:t xml:space="preserve">The National Education Data Platform is an interoperability and data sharing system that collects data related to the identification, enrollment, performance, and educational trajectory of all Brazilian students, from preschool to postgraduate studies. The data is stored and shared via APIs and bus systems that connect all school management systems of states, municipalities, and the Federal District. The data is shared and available for reuse in educational policies of all federative entities, enabling the creation of dashboards and panels </w:t>
      </w:r>
      <w:r w:rsidR="00A3680C" w:rsidRPr="00C83DA2">
        <w:rPr>
          <w:i/>
          <w:iCs/>
          <w:sz w:val="22"/>
          <w:szCs w:val="22"/>
        </w:rPr>
        <w:t xml:space="preserve">, </w:t>
      </w:r>
      <w:r w:rsidR="00A3680C" w:rsidRPr="00973204">
        <w:rPr>
          <w:sz w:val="22"/>
          <w:szCs w:val="22"/>
        </w:rPr>
        <w:t>governmental interventions in the educational process aimed at improving quality, and identification that supports policies such as school meals, distribution of textbooks, incentives for student retention, scholarships, and inclusion policies.</w:t>
      </w:r>
    </w:p>
    <w:p w14:paraId="11DCED98" w14:textId="3BCD52BE" w:rsidR="00DE48C1" w:rsidRDefault="006E7A9E">
      <w:pPr>
        <w:spacing w:after="0" w:line="276" w:lineRule="auto"/>
        <w:ind w:firstLine="567"/>
        <w:jc w:val="both"/>
        <w:rPr>
          <w:sz w:val="22"/>
          <w:szCs w:val="22"/>
        </w:rPr>
      </w:pPr>
      <w:r>
        <w:rPr>
          <w:sz w:val="22"/>
          <w:szCs w:val="22"/>
        </w:rPr>
        <w:t xml:space="preserve">For example, the entire management of the Pé-de-Meia Program, from eligibility to the payment of scholarships to students, depends on the data flow between the Union, states, the Federal District, and municipalities via the Present Management System. Being in the Pé-de-Meia Program database defines the visibility of the most vulnerable secondary school students, as well as the administrative flows that fall under the management of the program. Furthermore, the INDE (National Education Data Network) unfolds into applications aimed at supporting school management in municipalities with the dissemination of the Present Management in Schools (GPE) and a set of functionalities that reuse data for monitoring dropout rates through AI, administrative management of the </w:t>
      </w:r>
      <w:r>
        <w:rPr>
          <w:sz w:val="22"/>
          <w:szCs w:val="22"/>
        </w:rPr>
        <w:lastRenderedPageBreak/>
        <w:t>school, and organization of enrollments in daycare centers and schools. All these school management routines become shared and collaborative, integrating innovations and problem-solving through the INDE. Figure 1, below, demonstrates the architecture of the National Education Data Platform:</w:t>
      </w:r>
    </w:p>
    <w:p w14:paraId="7203E7D3" w14:textId="77777777" w:rsidR="00E770BC" w:rsidRPr="00973204" w:rsidRDefault="00E770BC" w:rsidP="00C83DA2">
      <w:pPr>
        <w:spacing w:after="0" w:line="276" w:lineRule="auto"/>
        <w:ind w:firstLine="567"/>
        <w:jc w:val="both"/>
        <w:rPr>
          <w:sz w:val="22"/>
          <w:szCs w:val="22"/>
        </w:rPr>
      </w:pPr>
    </w:p>
    <w:p w14:paraId="6A042B60" w14:textId="4879EF89" w:rsidR="00EC1D0C" w:rsidRPr="00973204" w:rsidRDefault="00CC5E46" w:rsidP="00C83DA2">
      <w:pPr>
        <w:spacing w:after="0" w:line="276" w:lineRule="auto"/>
        <w:ind w:firstLine="567"/>
        <w:jc w:val="both"/>
        <w:rPr>
          <w:b/>
          <w:bCs/>
          <w:sz w:val="22"/>
          <w:szCs w:val="22"/>
        </w:rPr>
      </w:pPr>
      <w:r w:rsidRPr="00973204">
        <w:rPr>
          <w:b/>
          <w:bCs/>
          <w:sz w:val="22"/>
          <w:szCs w:val="22"/>
        </w:rPr>
        <w:t>Figure 2. Architecture of the National Education Data Platform</w:t>
      </w:r>
    </w:p>
    <w:p w14:paraId="69271D0A" w14:textId="1C3FDCD6" w:rsidR="00EC1D0C" w:rsidRPr="00973204" w:rsidRDefault="00EC1D0C" w:rsidP="00C83DA2">
      <w:pPr>
        <w:spacing w:after="0" w:line="276" w:lineRule="auto"/>
        <w:jc w:val="both"/>
        <w:rPr>
          <w:sz w:val="22"/>
          <w:szCs w:val="22"/>
        </w:rPr>
      </w:pPr>
      <w:r w:rsidRPr="00973204">
        <w:rPr>
          <w:sz w:val="22"/>
          <w:szCs w:val="22"/>
        </w:rPr>
        <w:object w:dxaOrig="10425" w:dyaOrig="5175" w14:anchorId="4044E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08.5pt" o:ole="">
            <v:imagedata r:id="rId12" o:title=""/>
          </v:shape>
          <o:OLEObject Type="Embed" ProgID="PBrush" ShapeID="_x0000_i1025" DrawAspect="Content" ObjectID="_1834637093" r:id="rId13"/>
        </w:object>
      </w:r>
    </w:p>
    <w:p w14:paraId="599C3F47" w14:textId="4C9D12B3" w:rsidR="003D6556" w:rsidRPr="00973204" w:rsidRDefault="00CC5E46" w:rsidP="00C83DA2">
      <w:pPr>
        <w:spacing w:after="0" w:line="276" w:lineRule="auto"/>
        <w:ind w:firstLine="567"/>
        <w:jc w:val="both"/>
        <w:rPr>
          <w:sz w:val="22"/>
          <w:szCs w:val="22"/>
        </w:rPr>
      </w:pPr>
      <w:r w:rsidRPr="00973204">
        <w:rPr>
          <w:sz w:val="22"/>
          <w:szCs w:val="22"/>
        </w:rPr>
        <w:t>Source: Ministry of Education, 2026.</w:t>
      </w:r>
    </w:p>
    <w:p w14:paraId="57C8FB72" w14:textId="77777777" w:rsidR="00E770BC" w:rsidRPr="00973204" w:rsidRDefault="00E770BC" w:rsidP="00C83DA2">
      <w:pPr>
        <w:spacing w:after="0" w:line="276" w:lineRule="auto"/>
        <w:ind w:firstLine="567"/>
        <w:jc w:val="both"/>
        <w:rPr>
          <w:sz w:val="22"/>
          <w:szCs w:val="22"/>
        </w:rPr>
      </w:pPr>
    </w:p>
    <w:p w14:paraId="261D5211" w14:textId="08E74878" w:rsidR="00A45D52" w:rsidRDefault="00A45D52" w:rsidP="00C83DA2">
      <w:pPr>
        <w:spacing w:after="0" w:line="276" w:lineRule="auto"/>
        <w:ind w:firstLine="567"/>
        <w:jc w:val="both"/>
        <w:rPr>
          <w:sz w:val="22"/>
          <w:szCs w:val="22"/>
        </w:rPr>
      </w:pPr>
      <w:r>
        <w:rPr>
          <w:sz w:val="22"/>
          <w:szCs w:val="22"/>
        </w:rPr>
        <w:t xml:space="preserve">Fundamentally, the National Education Data Platform interoperates data from administrative and school management systems in a single </w:t>
      </w:r>
      <w:r w:rsidR="00826318" w:rsidRPr="00FD3130">
        <w:rPr>
          <w:i/>
          <w:iCs/>
          <w:sz w:val="22"/>
          <w:szCs w:val="22"/>
        </w:rPr>
        <w:t xml:space="preserve">data lake </w:t>
      </w:r>
      <w:r w:rsidR="00826318">
        <w:rPr>
          <w:sz w:val="22"/>
          <w:szCs w:val="22"/>
        </w:rPr>
        <w:t xml:space="preserve">, where data is </w:t>
      </w:r>
      <w:r w:rsidR="00FD3130">
        <w:rPr>
          <w:sz w:val="22"/>
          <w:szCs w:val="22"/>
        </w:rPr>
        <w:t xml:space="preserve">processed and made available for sharing </w:t>
      </w:r>
      <w:r w:rsidR="00100E0A">
        <w:rPr>
          <w:sz w:val="22"/>
          <w:szCs w:val="22"/>
        </w:rPr>
        <w:t xml:space="preserve">based on different layers of data governance. </w:t>
      </w:r>
      <w:r w:rsidR="00146880">
        <w:rPr>
          <w:rStyle w:val="Refdenotaderodap"/>
          <w:sz w:val="22"/>
          <w:szCs w:val="22"/>
        </w:rPr>
        <w:footnoteReference w:id="8"/>
      </w:r>
      <w:r w:rsidR="00100E0A">
        <w:rPr>
          <w:sz w:val="22"/>
          <w:szCs w:val="22"/>
        </w:rPr>
        <w:t xml:space="preserve">All data is protected, and access is defined by public or private assignments to school networks. Furthermore, the Platform provides for the creation of panels and </w:t>
      </w:r>
      <w:r w:rsidR="004771E5" w:rsidRPr="00C83DA2">
        <w:rPr>
          <w:i/>
          <w:iCs/>
          <w:sz w:val="22"/>
          <w:szCs w:val="22"/>
        </w:rPr>
        <w:t xml:space="preserve">dashboards </w:t>
      </w:r>
      <w:r w:rsidR="004771E5">
        <w:rPr>
          <w:sz w:val="22"/>
          <w:szCs w:val="22"/>
        </w:rPr>
        <w:t>on educational policies, accessible to different social actors, as well as an experimentation space for the development of AI-based solutions. The National Education Data Platform comprises a single space for accessing data – open or restricted access – in order to fuel innovations that support the creation of digital public infrastructures.</w:t>
      </w:r>
    </w:p>
    <w:p w14:paraId="6ADE6EBE" w14:textId="51618AF9" w:rsidR="48FA03F5" w:rsidRPr="00973204" w:rsidRDefault="00E70533" w:rsidP="00C83DA2">
      <w:pPr>
        <w:spacing w:after="0" w:line="276" w:lineRule="auto"/>
        <w:ind w:firstLine="567"/>
        <w:jc w:val="both"/>
        <w:rPr>
          <w:sz w:val="22"/>
          <w:szCs w:val="22"/>
        </w:rPr>
      </w:pPr>
      <w:r w:rsidRPr="00973204">
        <w:rPr>
          <w:sz w:val="22"/>
          <w:szCs w:val="22"/>
        </w:rPr>
        <w:t xml:space="preserve">The National Education Data Platform, as provided for in Complementary Law 220, integrates data in order to provide </w:t>
      </w:r>
      <w:r w:rsidR="00AC6BAC" w:rsidRPr="00973204">
        <w:rPr>
          <w:i/>
          <w:iCs/>
          <w:sz w:val="22"/>
          <w:szCs w:val="22"/>
        </w:rPr>
        <w:t xml:space="preserve">affordances. </w:t>
      </w:r>
      <w:r w:rsidR="00AC6BAC" w:rsidRPr="00973204">
        <w:rPr>
          <w:sz w:val="22"/>
          <w:szCs w:val="22"/>
        </w:rPr>
        <w:t>For policymakers and managers of educational policies to review processes, implement policies, and change the information regime of educational policies. The Platform is an instrument for the federal government, states, municipalities, and the Federal District to implement educational policies, respecting local realities and national dynamics, through a coordinated information regime, organized by governance mechanisms that ensure the protection of data and the privacy of citizens, enabling targeted reuse for the improvement of educational policies.</w:t>
      </w:r>
    </w:p>
    <w:p w14:paraId="69ECE3F7" w14:textId="77777777" w:rsidR="00604E4B" w:rsidRPr="00973204" w:rsidRDefault="00604E4B" w:rsidP="00C83DA2">
      <w:pPr>
        <w:spacing w:after="0" w:line="276" w:lineRule="auto"/>
        <w:ind w:firstLine="567"/>
        <w:jc w:val="both"/>
        <w:rPr>
          <w:b/>
          <w:bCs/>
          <w:sz w:val="22"/>
          <w:szCs w:val="22"/>
        </w:rPr>
      </w:pPr>
    </w:p>
    <w:p w14:paraId="0481C44E" w14:textId="16BC8DBA" w:rsidR="00007CB7" w:rsidRPr="00973204" w:rsidRDefault="00007CB7" w:rsidP="00C83DA2">
      <w:pPr>
        <w:pStyle w:val="PargrafodaLista"/>
        <w:numPr>
          <w:ilvl w:val="0"/>
          <w:numId w:val="1"/>
        </w:numPr>
        <w:spacing w:after="0" w:line="276" w:lineRule="auto"/>
        <w:ind w:left="993" w:hanging="426"/>
        <w:jc w:val="both"/>
        <w:rPr>
          <w:b/>
          <w:bCs/>
          <w:sz w:val="22"/>
          <w:szCs w:val="22"/>
        </w:rPr>
      </w:pPr>
      <w:r w:rsidRPr="00973204">
        <w:rPr>
          <w:b/>
          <w:bCs/>
          <w:sz w:val="22"/>
          <w:szCs w:val="22"/>
        </w:rPr>
        <w:t>Transformations and trends in Brazilian education</w:t>
      </w:r>
    </w:p>
    <w:p w14:paraId="1CAAE8BF" w14:textId="77777777" w:rsidR="00DF585D" w:rsidRPr="00973204" w:rsidRDefault="00DF585D" w:rsidP="00C83DA2">
      <w:pPr>
        <w:spacing w:after="0" w:line="276" w:lineRule="auto"/>
        <w:ind w:firstLine="567"/>
        <w:jc w:val="both"/>
        <w:rPr>
          <w:sz w:val="22"/>
          <w:szCs w:val="22"/>
        </w:rPr>
      </w:pPr>
    </w:p>
    <w:p w14:paraId="2564BAA5" w14:textId="211C26EF" w:rsidR="00E3050A" w:rsidRPr="00973204" w:rsidRDefault="00007CB7" w:rsidP="00C83DA2">
      <w:pPr>
        <w:spacing w:after="0" w:line="276" w:lineRule="auto"/>
        <w:ind w:firstLine="567"/>
        <w:jc w:val="both"/>
        <w:rPr>
          <w:sz w:val="22"/>
          <w:szCs w:val="22"/>
        </w:rPr>
      </w:pPr>
      <w:r w:rsidRPr="00973204">
        <w:rPr>
          <w:sz w:val="22"/>
          <w:szCs w:val="22"/>
        </w:rPr>
        <w:t>Recent transformations in Brazilian education should be understood as part of a broader process of socio-technical reconfiguration, in which public policies, digital technologies, and pedagogical practices co-constitute each other. This process does not occur homogeneously, but is traversed by regional asymmetries, institutional inequalities, and political disputes. In all these socio-technical dynamics, data infrastructures, platforms, and algorithmic systems offer a new environment with possibilities for action for students, teachers, and managers of educational systems.</w:t>
      </w:r>
    </w:p>
    <w:p w14:paraId="25F790BC" w14:textId="39AE1166" w:rsidR="00007CB7" w:rsidRPr="00973204" w:rsidRDefault="00007CB7" w:rsidP="00C83DA2">
      <w:pPr>
        <w:spacing w:after="0" w:line="276" w:lineRule="auto"/>
        <w:ind w:firstLine="567"/>
        <w:jc w:val="both"/>
        <w:rPr>
          <w:sz w:val="22"/>
          <w:szCs w:val="22"/>
        </w:rPr>
      </w:pPr>
      <w:r w:rsidRPr="00973204">
        <w:rPr>
          <w:sz w:val="22"/>
          <w:szCs w:val="22"/>
        </w:rPr>
        <w:t xml:space="preserve">A central trend is the increasing datafication of education. Performance indicators, learning metrics, and monitoring systems have become central elements of educational management (Williamson and </w:t>
      </w:r>
      <w:r w:rsidR="00035F01">
        <w:rPr>
          <w:sz w:val="22"/>
          <w:szCs w:val="22"/>
        </w:rPr>
        <w:t>Piattoeva , 2018). The continuous production of data redefines the role of assessment, shifting it from an instrument driven by learning and pedagogical improvement to a permanent governance mechanism. This dynamic alters the relationships between managers, teachers, and students, while reinforcing the centrality of data specialists and policy analysts.</w:t>
      </w:r>
    </w:p>
    <w:p w14:paraId="25784CD9" w14:textId="588F6A2D" w:rsidR="00007CB7" w:rsidRPr="00973204" w:rsidRDefault="00007CB7" w:rsidP="00C83DA2">
      <w:pPr>
        <w:spacing w:after="0" w:line="276" w:lineRule="auto"/>
        <w:ind w:firstLine="567"/>
        <w:jc w:val="both"/>
        <w:rPr>
          <w:sz w:val="22"/>
          <w:szCs w:val="22"/>
        </w:rPr>
      </w:pPr>
      <w:r w:rsidRPr="00973204">
        <w:rPr>
          <w:sz w:val="22"/>
          <w:szCs w:val="22"/>
        </w:rPr>
        <w:t xml:space="preserve">Another relevant trend is the platformization of education. Virtual learning environments, school management systems, and digital platforms have begun to organize the daily routines of educational institutions </w:t>
      </w:r>
      <w:r w:rsidR="000038FF" w:rsidRPr="00973204">
        <w:rPr>
          <w:sz w:val="22"/>
          <w:szCs w:val="22"/>
        </w:rPr>
        <w:t>, amplifying data collection for different purposes. These platforms not only mediate pedagogical interactions but also incorporate normative models of teaching, evaluation, and control (CGI, 2023). The trend is for states, the Federal District, and municipalities, the implementers of educational policies, to organize their pedagogical practices and management processes on platforms, incrementally adding emerging technologies to constitute public digital infrastructures. The challenge is to ensure that these infrastructures do not operate as private governance infrastructures, driven by commercial logics and corporate interests (Williamson, 2017).</w:t>
      </w:r>
      <w:r w:rsidR="006F409B">
        <w:rPr>
          <w:rStyle w:val="Refdenotaderodap"/>
          <w:sz w:val="22"/>
          <w:szCs w:val="22"/>
        </w:rPr>
        <w:footnoteReference w:id="9"/>
      </w:r>
    </w:p>
    <w:p w14:paraId="3F39F35B" w14:textId="787BA461" w:rsidR="004423BA" w:rsidRPr="00973204" w:rsidRDefault="00007CB7" w:rsidP="00C83DA2">
      <w:pPr>
        <w:spacing w:after="0" w:line="276" w:lineRule="auto"/>
        <w:ind w:firstLine="567"/>
        <w:jc w:val="both"/>
        <w:rPr>
          <w:sz w:val="22"/>
          <w:szCs w:val="22"/>
        </w:rPr>
      </w:pPr>
      <w:r w:rsidRPr="00973204">
        <w:rPr>
          <w:sz w:val="22"/>
          <w:szCs w:val="22"/>
        </w:rPr>
        <w:t xml:space="preserve">In Brazil, the growing presence of educational technology companies in the public sector illustrates this dynamic. Public-private partnerships, software licensing agreements, and technical cooperation agreements expand the State's operational capacity, but also generate technological dependencies and risks of regulatory capture ( </w:t>
      </w:r>
      <w:r w:rsidR="009705FB" w:rsidRPr="00973204">
        <w:rPr>
          <w:sz w:val="22"/>
          <w:szCs w:val="22"/>
        </w:rPr>
        <w:t xml:space="preserve">Margetts and Dunleavy , 2024). The dynamic of this process is to create </w:t>
      </w:r>
      <w:r w:rsidR="58AB8001" w:rsidRPr="00973204">
        <w:rPr>
          <w:i/>
          <w:iCs/>
          <w:sz w:val="22"/>
          <w:szCs w:val="22"/>
        </w:rPr>
        <w:t xml:space="preserve">shadow companies. </w:t>
      </w:r>
      <w:r w:rsidR="1A2814C8" w:rsidRPr="00973204">
        <w:rPr>
          <w:i/>
          <w:iCs/>
          <w:sz w:val="22"/>
          <w:szCs w:val="22"/>
        </w:rPr>
        <w:t xml:space="preserve">Bureaucracies </w:t>
      </w:r>
      <w:r w:rsidR="1A2814C8" w:rsidRPr="00973204">
        <w:rPr>
          <w:sz w:val="22"/>
          <w:szCs w:val="22"/>
        </w:rPr>
        <w:t xml:space="preserve">(shadow bureaucracies) with little public control reinforce a logic of dependency. In general, the technological development of governments implies a relationship of dependency with the private sector that transforms organizational culture and governmental practices ( </w:t>
      </w:r>
      <w:r w:rsidR="6E8089EC" w:rsidRPr="00973204">
        <w:rPr>
          <w:sz w:val="22"/>
          <w:szCs w:val="22"/>
        </w:rPr>
        <w:t>Margetts and Dunleavy , 2024). By establishing the INDE (National Data Safety Index), the government creates a remedy for this dependency, so that federative entities and society itself can benefit from the intensive sharing of data.</w:t>
      </w:r>
    </w:p>
    <w:p w14:paraId="1328E9ED" w14:textId="3A5E2861" w:rsidR="00007CB7" w:rsidRPr="00973204" w:rsidRDefault="6E8089EC" w:rsidP="00C83DA2">
      <w:pPr>
        <w:spacing w:after="0" w:line="276" w:lineRule="auto"/>
        <w:ind w:firstLine="567"/>
        <w:jc w:val="both"/>
        <w:rPr>
          <w:sz w:val="22"/>
          <w:szCs w:val="22"/>
        </w:rPr>
      </w:pPr>
      <w:r w:rsidRPr="00973204">
        <w:rPr>
          <w:sz w:val="22"/>
          <w:szCs w:val="22"/>
        </w:rPr>
        <w:lastRenderedPageBreak/>
        <w:t xml:space="preserve">Furthermore, advances in data infrastructure imply the use of emerging technologies, which are cloud-based. This makes governments dependent on “intellectual monopolies” that are organized around technology corporations, with direct impacts on education ( </w:t>
      </w:r>
      <w:r w:rsidR="00CC3A9B" w:rsidRPr="00973204">
        <w:rPr>
          <w:sz w:val="22"/>
          <w:szCs w:val="22"/>
        </w:rPr>
        <w:t>Rikap , 2024). The absence of a clear national strategy for digital sovereignty can deepen asymmetries and compromise the autonomy of educational policies.</w:t>
      </w:r>
    </w:p>
    <w:p w14:paraId="44747BA4" w14:textId="493FF6EA" w:rsidR="00007CB7" w:rsidRPr="00973204" w:rsidRDefault="00007CB7" w:rsidP="00C83DA2">
      <w:pPr>
        <w:spacing w:after="0" w:line="276" w:lineRule="auto"/>
        <w:ind w:firstLine="567"/>
        <w:jc w:val="both"/>
        <w:rPr>
          <w:sz w:val="22"/>
          <w:szCs w:val="22"/>
        </w:rPr>
      </w:pPr>
      <w:r w:rsidRPr="00973204">
        <w:rPr>
          <w:sz w:val="22"/>
          <w:szCs w:val="22"/>
        </w:rPr>
        <w:t xml:space="preserve">In the pedagogical field, the incorporation of digital technologies and AI reconfigures teaching practices and learning experiences. Adaptive systems, predictive analytics, and personalization tools promise gains in efficiency and engagement, but also introduce new forms of surveillance and standardization ( </w:t>
      </w:r>
      <w:r w:rsidR="000529AD">
        <w:rPr>
          <w:sz w:val="22"/>
          <w:szCs w:val="22"/>
        </w:rPr>
        <w:t xml:space="preserve">Zuboff , 2019). Teachers begin to operate in highly monitored environments, in which their practices are recorded, evaluated, and compared ( </w:t>
      </w:r>
      <w:r w:rsidR="006666A0" w:rsidRPr="00973204">
        <w:rPr>
          <w:sz w:val="22"/>
          <w:szCs w:val="22"/>
        </w:rPr>
        <w:t xml:space="preserve">Selwin , 2019). These transformations that emerge with data infrastructures demand new professional skills, new modalities of teacher training, and new institutional arrangements. The ability to interpret data, understand algorithms, and exercise critical judgment becomes central to the practice of teaching and educational management. At the same time, the </w:t>
      </w:r>
      <w:r w:rsidRPr="00973204">
        <w:rPr>
          <w:sz w:val="22"/>
          <w:szCs w:val="22"/>
        </w:rPr>
        <w:t>need for regulatory frameworks that guarantee transparency, accountability, and protection of rights in the use of educational technologies emerges.</w:t>
      </w:r>
    </w:p>
    <w:p w14:paraId="476AE7EA" w14:textId="77777777" w:rsidR="00FE32C4" w:rsidRPr="00973204" w:rsidRDefault="00FE32C4" w:rsidP="00C83DA2">
      <w:pPr>
        <w:spacing w:after="0" w:line="276" w:lineRule="auto"/>
        <w:ind w:firstLine="567"/>
        <w:jc w:val="both"/>
        <w:rPr>
          <w:sz w:val="22"/>
          <w:szCs w:val="22"/>
        </w:rPr>
      </w:pPr>
    </w:p>
    <w:p w14:paraId="43B82230" w14:textId="77777777" w:rsidR="00007CB7" w:rsidRPr="00973204" w:rsidRDefault="00007CB7" w:rsidP="00C83DA2">
      <w:pPr>
        <w:spacing w:after="0" w:line="276" w:lineRule="auto"/>
        <w:ind w:left="993" w:hanging="426"/>
        <w:jc w:val="both"/>
        <w:rPr>
          <w:b/>
          <w:bCs/>
          <w:sz w:val="22"/>
          <w:szCs w:val="22"/>
        </w:rPr>
      </w:pPr>
      <w:r w:rsidRPr="00973204">
        <w:rPr>
          <w:b/>
          <w:bCs/>
          <w:sz w:val="22"/>
          <w:szCs w:val="22"/>
        </w:rPr>
        <w:t>4. Final considerations: infrastructure, governance, and the future of education.</w:t>
      </w:r>
    </w:p>
    <w:p w14:paraId="6E2DF5A2" w14:textId="77777777" w:rsidR="00FE32C4" w:rsidRPr="00973204" w:rsidRDefault="00FE32C4" w:rsidP="00C83DA2">
      <w:pPr>
        <w:spacing w:after="0" w:line="276" w:lineRule="auto"/>
        <w:ind w:firstLine="567"/>
        <w:jc w:val="both"/>
        <w:rPr>
          <w:sz w:val="22"/>
          <w:szCs w:val="22"/>
        </w:rPr>
      </w:pPr>
    </w:p>
    <w:p w14:paraId="0A045C97" w14:textId="044AA41D" w:rsidR="00007CB7" w:rsidRPr="00973204" w:rsidRDefault="00007CB7" w:rsidP="00C83DA2">
      <w:pPr>
        <w:spacing w:after="0" w:line="276" w:lineRule="auto"/>
        <w:ind w:firstLine="567"/>
        <w:jc w:val="both"/>
        <w:rPr>
          <w:sz w:val="22"/>
          <w:szCs w:val="22"/>
        </w:rPr>
      </w:pPr>
      <w:r w:rsidRPr="00973204">
        <w:rPr>
          <w:sz w:val="22"/>
          <w:szCs w:val="22"/>
        </w:rPr>
        <w:t>The analysis developed in this article argues that public data infrastructures constitute the structuring core of the digital transformation of contemporary education. More than just technical support, these infrastructures configure socio-technical devices that reorganize institutional practices, redefine power relations, and shape the horizons of public action in the educational field.</w:t>
      </w:r>
    </w:p>
    <w:p w14:paraId="6D1E814D" w14:textId="5D4AE17F" w:rsidR="00007CB7" w:rsidRPr="00973204" w:rsidRDefault="00007CB7" w:rsidP="00C83DA2">
      <w:pPr>
        <w:spacing w:after="0" w:line="276" w:lineRule="auto"/>
        <w:ind w:firstLine="567"/>
        <w:jc w:val="both"/>
        <w:rPr>
          <w:sz w:val="22"/>
          <w:szCs w:val="22"/>
        </w:rPr>
      </w:pPr>
      <w:r w:rsidRPr="00973204">
        <w:rPr>
          <w:sz w:val="22"/>
          <w:szCs w:val="22"/>
        </w:rPr>
        <w:t>The consolidation of a national education data infrastructure therefore represents a long-term political project. It is an initiative that can strengthen state capacities, promote greater educational equity, and support evidence-based policies, provided it is guided by principles of democratic governance, transparency, and public accountability. At the same time, it is crucial to recognize the risks associated with the datafication and platformization of education. Without adequate mechanisms for regulation, social participation, and institutional control, digital infrastructures can deepen inequalities, reduce pedagogical autonomy, and concentrate power in private or technocratic actors.</w:t>
      </w:r>
    </w:p>
    <w:p w14:paraId="46535677" w14:textId="1A7F2EC4" w:rsidR="00007CB7" w:rsidRPr="00973204" w:rsidRDefault="00007CB7" w:rsidP="00C83DA2">
      <w:pPr>
        <w:spacing w:after="0" w:line="276" w:lineRule="auto"/>
        <w:ind w:firstLine="567"/>
        <w:jc w:val="both"/>
        <w:rPr>
          <w:sz w:val="22"/>
          <w:szCs w:val="22"/>
        </w:rPr>
      </w:pPr>
      <w:r w:rsidRPr="00973204">
        <w:rPr>
          <w:sz w:val="22"/>
          <w:szCs w:val="22"/>
        </w:rPr>
        <w:t xml:space="preserve">The digital transformation of education should not be understood as an inevitable destiny, but as a field of political choices. The decisions made today about how data is collected, governed, and used will shape the future possibilities of Brazilian education. In this sense, thinking about public data infrastructures as </w:t>
      </w:r>
      <w:r w:rsidR="0084331B" w:rsidRPr="00973204">
        <w:rPr>
          <w:i/>
          <w:iCs/>
          <w:sz w:val="22"/>
          <w:szCs w:val="22"/>
        </w:rPr>
        <w:t xml:space="preserve">affordances... </w:t>
      </w:r>
      <w:r w:rsidR="0084331B" w:rsidRPr="00973204">
        <w:rPr>
          <w:sz w:val="22"/>
          <w:szCs w:val="22"/>
        </w:rPr>
        <w:t>Designing educational policies and digital commons, guided by public interest and social justice, is a fundamental step towards building a democratic, inclusive, and socially relevant education in the 21st century.</w:t>
      </w:r>
    </w:p>
    <w:p w14:paraId="0628F7DD" w14:textId="1F9262AE" w:rsidR="00007CB7" w:rsidRPr="00973204" w:rsidRDefault="00007CB7" w:rsidP="00C83DA2">
      <w:pPr>
        <w:spacing w:after="0" w:line="276" w:lineRule="auto"/>
        <w:ind w:firstLine="567"/>
        <w:jc w:val="both"/>
        <w:rPr>
          <w:sz w:val="22"/>
          <w:szCs w:val="22"/>
        </w:rPr>
      </w:pPr>
    </w:p>
    <w:p w14:paraId="6CB98A96" w14:textId="77777777" w:rsidR="00007CB7" w:rsidRPr="007C1817" w:rsidRDefault="00007CB7" w:rsidP="00C83DA2">
      <w:pPr>
        <w:spacing w:after="0" w:line="276" w:lineRule="auto"/>
        <w:ind w:left="426" w:hanging="426"/>
        <w:jc w:val="both"/>
        <w:rPr>
          <w:b/>
          <w:bCs/>
          <w:sz w:val="22"/>
          <w:szCs w:val="22"/>
        </w:rPr>
      </w:pPr>
      <w:r w:rsidRPr="007C1817">
        <w:rPr>
          <w:b/>
          <w:bCs/>
          <w:sz w:val="22"/>
          <w:szCs w:val="22"/>
        </w:rPr>
        <w:t>References</w:t>
      </w:r>
    </w:p>
    <w:p w14:paraId="426E2E3B" w14:textId="77777777" w:rsidR="003159F4" w:rsidRPr="007C1817" w:rsidRDefault="003159F4" w:rsidP="00C83DA2">
      <w:pPr>
        <w:spacing w:after="0" w:line="276" w:lineRule="auto"/>
        <w:ind w:left="426" w:hanging="426"/>
        <w:jc w:val="both"/>
        <w:rPr>
          <w:sz w:val="22"/>
          <w:szCs w:val="22"/>
        </w:rPr>
      </w:pPr>
    </w:p>
    <w:p w14:paraId="14A7DD16" w14:textId="77777777" w:rsidR="00E719A5" w:rsidRPr="0042581D" w:rsidRDefault="00E719A5" w:rsidP="00C83DA2">
      <w:pPr>
        <w:spacing w:line="276" w:lineRule="auto"/>
        <w:ind w:left="426" w:hanging="426"/>
        <w:jc w:val="both"/>
        <w:rPr>
          <w:sz w:val="22"/>
          <w:szCs w:val="22"/>
          <w:lang w:val="en-US"/>
        </w:rPr>
      </w:pPr>
      <w:r w:rsidRPr="007C1817">
        <w:rPr>
          <w:sz w:val="22"/>
          <w:szCs w:val="22"/>
        </w:rPr>
        <w:t xml:space="preserve">ARRETCHE, M. (2012). </w:t>
      </w:r>
      <w:r w:rsidRPr="00973204">
        <w:rPr>
          <w:i/>
          <w:iCs/>
          <w:sz w:val="22"/>
          <w:szCs w:val="22"/>
        </w:rPr>
        <w:t xml:space="preserve">Democracy, federalism and centralization in Brazil </w:t>
      </w:r>
      <w:r w:rsidRPr="00973204">
        <w:rPr>
          <w:sz w:val="22"/>
          <w:szCs w:val="22"/>
        </w:rPr>
        <w:t xml:space="preserve">. </w:t>
      </w:r>
      <w:r w:rsidRPr="0042581D">
        <w:rPr>
          <w:sz w:val="22"/>
          <w:szCs w:val="22"/>
          <w:lang w:val="en-US"/>
        </w:rPr>
        <w:t>Rio de Janeiro: Editora FGV, 2012.</w:t>
      </w:r>
    </w:p>
    <w:p w14:paraId="46C84603" w14:textId="22551516" w:rsidR="004F52A4" w:rsidRPr="00C21872" w:rsidRDefault="004F52A4" w:rsidP="00C83DA2">
      <w:pPr>
        <w:spacing w:line="276" w:lineRule="auto"/>
        <w:ind w:left="426" w:hanging="426"/>
        <w:jc w:val="both"/>
        <w:rPr>
          <w:sz w:val="22"/>
          <w:szCs w:val="22"/>
        </w:rPr>
      </w:pPr>
      <w:r>
        <w:rPr>
          <w:sz w:val="22"/>
          <w:szCs w:val="22"/>
          <w:lang w:val="en-US"/>
        </w:rPr>
        <w:lastRenderedPageBreak/>
        <w:t xml:space="preserve">BALL, S.J. (2015). Education, governance, and the tyranny of numbers. </w:t>
      </w:r>
      <w:r w:rsidRPr="008D5DF1">
        <w:rPr>
          <w:i/>
          <w:iCs/>
          <w:sz w:val="22"/>
          <w:szCs w:val="22"/>
        </w:rPr>
        <w:t xml:space="preserve">Journal of Education Policy </w:t>
      </w:r>
      <w:r w:rsidR="00776BC3" w:rsidRPr="00C83DA2">
        <w:rPr>
          <w:sz w:val="22"/>
          <w:szCs w:val="22"/>
        </w:rPr>
        <w:t xml:space="preserve">, 30(3), 299–301. </w:t>
      </w:r>
      <w:hyperlink r:id="rId14" w:history="1">
        <w:r w:rsidR="00662938" w:rsidRPr="00C83DA2">
          <w:rPr>
            <w:rStyle w:val="Hyperlink"/>
            <w:sz w:val="22"/>
            <w:szCs w:val="22"/>
          </w:rPr>
          <w:t>https://doi.org/10.1080/02680939.2015.1013271</w:t>
        </w:r>
      </w:hyperlink>
      <w:r w:rsidR="00662938" w:rsidRPr="00C83DA2">
        <w:rPr>
          <w:sz w:val="22"/>
          <w:szCs w:val="22"/>
        </w:rPr>
        <w:t xml:space="preserve"> </w:t>
      </w:r>
    </w:p>
    <w:p w14:paraId="03B88AA0" w14:textId="5E9299F0" w:rsidR="001B321B" w:rsidRPr="001B321B" w:rsidRDefault="001B321B" w:rsidP="001B321B">
      <w:pPr>
        <w:spacing w:line="276" w:lineRule="auto"/>
        <w:ind w:left="426" w:hanging="426"/>
        <w:jc w:val="both"/>
        <w:rPr>
          <w:sz w:val="22"/>
          <w:szCs w:val="22"/>
        </w:rPr>
      </w:pPr>
      <w:r w:rsidRPr="001B321B">
        <w:rPr>
          <w:sz w:val="22"/>
          <w:szCs w:val="22"/>
        </w:rPr>
        <w:t xml:space="preserve">CGI (2023). </w:t>
      </w:r>
      <w:r w:rsidRPr="001B321B">
        <w:rPr>
          <w:i/>
          <w:iCs/>
          <w:sz w:val="22"/>
          <w:szCs w:val="22"/>
        </w:rPr>
        <w:t xml:space="preserve">Education in a scenario of platformization and data economy. </w:t>
      </w:r>
      <w:r w:rsidRPr="00F10DC5">
        <w:rPr>
          <w:i/>
          <w:iCs/>
          <w:sz w:val="22"/>
          <w:szCs w:val="22"/>
          <w:lang w:val="pt-BR"/>
        </w:rPr>
        <w:t xml:space="preserve">Sovereignty and infrastructure </w:t>
      </w:r>
      <w:r w:rsidRPr="00F10DC5">
        <w:rPr>
          <w:sz w:val="22"/>
          <w:szCs w:val="22"/>
          <w:lang w:val="pt-BR"/>
        </w:rPr>
        <w:t xml:space="preserve">. São Paulo: Núcleo de Informação e Coordenação do Ponto BR. </w:t>
      </w:r>
      <w:hyperlink r:id="rId15" w:history="1">
        <w:r w:rsidR="00533E6D" w:rsidRPr="00533E6D">
          <w:rPr>
            <w:rStyle w:val="Hyperlink"/>
            <w:sz w:val="22"/>
            <w:szCs w:val="22"/>
          </w:rPr>
          <w:t>https://cgi.br/media/docs/publicacoes/1/20231129143817/educacao_em_um_cenario_de_plataformiza%C3%A7ao_e_de_economia_de_dados_soberania_e_infraestrutura.pdf</w:t>
        </w:r>
      </w:hyperlink>
      <w:r w:rsidR="00103668">
        <w:rPr>
          <w:sz w:val="22"/>
          <w:szCs w:val="22"/>
        </w:rPr>
        <w:t xml:space="preserve"> </w:t>
      </w:r>
    </w:p>
    <w:p w14:paraId="11BE3493" w14:textId="4E03DC01" w:rsidR="005A7461" w:rsidRDefault="005A7461" w:rsidP="00C83DA2">
      <w:pPr>
        <w:spacing w:line="276" w:lineRule="auto"/>
        <w:ind w:left="426" w:hanging="426"/>
        <w:jc w:val="both"/>
        <w:rPr>
          <w:sz w:val="22"/>
          <w:szCs w:val="22"/>
          <w:lang w:val="en-US"/>
        </w:rPr>
      </w:pPr>
      <w:r w:rsidRPr="00C83DA2">
        <w:rPr>
          <w:sz w:val="22"/>
          <w:szCs w:val="22"/>
          <w:lang w:val="es-419"/>
        </w:rPr>
        <w:t xml:space="preserve">DIJCK, J. van; POELL, T.; WAAL, M. (2018). </w:t>
      </w:r>
      <w:r w:rsidRPr="00B74649">
        <w:rPr>
          <w:i/>
          <w:iCs/>
          <w:sz w:val="22"/>
          <w:szCs w:val="22"/>
          <w:lang w:val="en-US"/>
        </w:rPr>
        <w:t xml:space="preserve">The platform society: Public values in a connected world </w:t>
      </w:r>
      <w:r w:rsidRPr="00B74649">
        <w:rPr>
          <w:sz w:val="22"/>
          <w:szCs w:val="22"/>
          <w:lang w:val="en-US"/>
        </w:rPr>
        <w:t>. OxfordUniversity Press.</w:t>
      </w:r>
    </w:p>
    <w:p w14:paraId="06D94B3E" w14:textId="2D665878" w:rsidR="00E719A5" w:rsidRPr="00973204" w:rsidRDefault="00E719A5" w:rsidP="00C83DA2">
      <w:pPr>
        <w:spacing w:line="276" w:lineRule="auto"/>
        <w:ind w:left="426" w:hanging="426"/>
        <w:jc w:val="both"/>
        <w:rPr>
          <w:sz w:val="22"/>
          <w:szCs w:val="22"/>
          <w:lang w:val="en-US"/>
        </w:rPr>
      </w:pPr>
      <w:r w:rsidRPr="00C83DA2">
        <w:rPr>
          <w:sz w:val="22"/>
          <w:szCs w:val="22"/>
          <w:lang w:val="en-US"/>
        </w:rPr>
        <w:t xml:space="preserve">DUNLEAVY, P., MARGETTS, H. Data science, artificial intelligence and the third wave of digital era governance. </w:t>
      </w:r>
      <w:r w:rsidRPr="00973204">
        <w:rPr>
          <w:i/>
          <w:sz w:val="22"/>
          <w:szCs w:val="22"/>
          <w:lang w:val="en-US"/>
        </w:rPr>
        <w:t xml:space="preserve">Public Policy and Administration </w:t>
      </w:r>
      <w:r w:rsidRPr="00973204">
        <w:rPr>
          <w:sz w:val="22"/>
          <w:szCs w:val="22"/>
          <w:lang w:val="en-US"/>
        </w:rPr>
        <w:t xml:space="preserve">, 40(2), 185–214, 2024. DOI: </w:t>
      </w:r>
      <w:hyperlink r:id="rId16">
        <w:r w:rsidRPr="00973204">
          <w:rPr>
            <w:rStyle w:val="Hyperlink"/>
            <w:sz w:val="22"/>
            <w:szCs w:val="22"/>
            <w:lang w:val="en-US"/>
          </w:rPr>
          <w:t>https://doi.org/10.1177/09520767231198737</w:t>
        </w:r>
      </w:hyperlink>
      <w:r w:rsidRPr="00973204">
        <w:rPr>
          <w:sz w:val="22"/>
          <w:szCs w:val="22"/>
          <w:lang w:val="en-US"/>
        </w:rPr>
        <w:t xml:space="preserve"> </w:t>
      </w:r>
    </w:p>
    <w:p w14:paraId="069E2C49" w14:textId="055A1097" w:rsidR="00740F1F" w:rsidRPr="00973204" w:rsidRDefault="003F2F57" w:rsidP="00C83DA2">
      <w:pPr>
        <w:spacing w:line="276" w:lineRule="auto"/>
        <w:ind w:left="426" w:hanging="426"/>
        <w:jc w:val="both"/>
        <w:rPr>
          <w:sz w:val="22"/>
          <w:szCs w:val="22"/>
          <w:lang w:val="en-US"/>
        </w:rPr>
      </w:pPr>
      <w:r w:rsidRPr="00973204">
        <w:rPr>
          <w:sz w:val="22"/>
          <w:szCs w:val="22"/>
          <w:lang w:val="en-US"/>
        </w:rPr>
        <w:t xml:space="preserve">FILGUEIRAS, F. The silent reform: Digital governance as a strategy for state reform in Brazil. In: E. Lisboa, RC Gomes, HF Martins (eds.). </w:t>
      </w:r>
      <w:r w:rsidR="00812E5E" w:rsidRPr="00973204">
        <w:rPr>
          <w:i/>
          <w:iCs/>
          <w:sz w:val="22"/>
          <w:szCs w:val="22"/>
          <w:lang w:val="en-US"/>
        </w:rPr>
        <w:t xml:space="preserve">The Brazilian way of doing public administration: Brazil with as 's'. </w:t>
      </w:r>
      <w:r w:rsidR="00287207" w:rsidRPr="00973204">
        <w:rPr>
          <w:sz w:val="22"/>
          <w:szCs w:val="22"/>
          <w:lang w:val="en-US"/>
        </w:rPr>
        <w:t>Bingley: Emerald Publishing, p. 83-96, 2023.</w:t>
      </w:r>
    </w:p>
    <w:p w14:paraId="5928507B" w14:textId="33E5814D" w:rsidR="00E719A5" w:rsidRPr="00973204" w:rsidRDefault="00E719A5" w:rsidP="00C83DA2">
      <w:pPr>
        <w:spacing w:line="276" w:lineRule="auto"/>
        <w:ind w:left="426" w:hanging="426"/>
        <w:jc w:val="both"/>
        <w:rPr>
          <w:sz w:val="22"/>
          <w:szCs w:val="22"/>
          <w:lang w:val="en-US"/>
        </w:rPr>
      </w:pPr>
      <w:r w:rsidRPr="00973204">
        <w:rPr>
          <w:sz w:val="22"/>
          <w:szCs w:val="22"/>
          <w:lang w:val="en-US"/>
        </w:rPr>
        <w:t xml:space="preserve">FILGUEIRAS, F., ALMEIDA, V., GAETANI, F. Digital governance and the tragedy of the digital world. </w:t>
      </w:r>
      <w:r w:rsidRPr="00973204">
        <w:rPr>
          <w:i/>
          <w:iCs/>
          <w:sz w:val="22"/>
          <w:szCs w:val="22"/>
          <w:lang w:val="en-US"/>
        </w:rPr>
        <w:t xml:space="preserve">IEEE Internet Computing, </w:t>
      </w:r>
      <w:r w:rsidRPr="00973204">
        <w:rPr>
          <w:sz w:val="22"/>
          <w:szCs w:val="22"/>
          <w:lang w:val="en-US"/>
        </w:rPr>
        <w:t xml:space="preserve">24(4), 41-46, 2020. DOI: </w:t>
      </w:r>
      <w:hyperlink r:id="rId17" w:history="1">
        <w:r w:rsidRPr="00973204">
          <w:rPr>
            <w:rStyle w:val="Hyperlink"/>
            <w:sz w:val="22"/>
            <w:szCs w:val="22"/>
            <w:lang w:val="en-US"/>
          </w:rPr>
          <w:t>https://doi.org/10.1109/MIC.2020.2979639</w:t>
        </w:r>
      </w:hyperlink>
      <w:r w:rsidRPr="00973204">
        <w:rPr>
          <w:sz w:val="22"/>
          <w:szCs w:val="22"/>
          <w:lang w:val="en-US"/>
        </w:rPr>
        <w:t xml:space="preserve"> </w:t>
      </w:r>
    </w:p>
    <w:p w14:paraId="7AA4590B" w14:textId="3C6DD434" w:rsidR="00E719A5" w:rsidRPr="00973204" w:rsidRDefault="00E719A5" w:rsidP="00C83DA2">
      <w:pPr>
        <w:spacing w:line="276" w:lineRule="auto"/>
        <w:ind w:left="426" w:hanging="426"/>
        <w:jc w:val="both"/>
        <w:rPr>
          <w:sz w:val="22"/>
          <w:szCs w:val="22"/>
          <w:lang w:val="en-US"/>
        </w:rPr>
      </w:pPr>
      <w:r w:rsidRPr="00973204">
        <w:rPr>
          <w:sz w:val="22"/>
          <w:szCs w:val="22"/>
          <w:lang w:val="en-US"/>
        </w:rPr>
        <w:t xml:space="preserve">FRISCHMANN, B. </w:t>
      </w:r>
      <w:r w:rsidRPr="00973204">
        <w:rPr>
          <w:i/>
          <w:iCs/>
          <w:sz w:val="22"/>
          <w:szCs w:val="22"/>
          <w:lang w:val="en-US"/>
        </w:rPr>
        <w:t xml:space="preserve">Infrastructure. </w:t>
      </w:r>
      <w:r w:rsidRPr="00973204">
        <w:rPr>
          <w:sz w:val="22"/>
          <w:szCs w:val="22"/>
          <w:lang w:val="en-US"/>
        </w:rPr>
        <w:t>Oxford: Oxford University Press, 2012.</w:t>
      </w:r>
    </w:p>
    <w:p w14:paraId="0DF8FD73" w14:textId="77777777" w:rsidR="00E719A5" w:rsidRPr="00973204" w:rsidRDefault="00E719A5" w:rsidP="00C83DA2">
      <w:pPr>
        <w:spacing w:line="276" w:lineRule="auto"/>
        <w:ind w:left="426" w:hanging="426"/>
        <w:jc w:val="both"/>
        <w:rPr>
          <w:sz w:val="22"/>
          <w:szCs w:val="22"/>
          <w:lang w:val="en-US"/>
        </w:rPr>
      </w:pPr>
      <w:r w:rsidRPr="00973204">
        <w:rPr>
          <w:sz w:val="22"/>
          <w:szCs w:val="22"/>
          <w:lang w:val="en-US"/>
        </w:rPr>
        <w:t xml:space="preserve">FRISCHMANN, B., SELINGER, E. </w:t>
      </w:r>
      <w:r w:rsidRPr="00973204">
        <w:rPr>
          <w:i/>
          <w:iCs/>
          <w:sz w:val="22"/>
          <w:szCs w:val="22"/>
          <w:lang w:val="en-US"/>
        </w:rPr>
        <w:t xml:space="preserve">Re-engineering humanity </w:t>
      </w:r>
      <w:r w:rsidRPr="00973204">
        <w:rPr>
          <w:sz w:val="22"/>
          <w:szCs w:val="22"/>
          <w:lang w:val="en-US"/>
        </w:rPr>
        <w:t>. Cambridge: Cambridge University Press, 2018.</w:t>
      </w:r>
    </w:p>
    <w:p w14:paraId="241FE165" w14:textId="77777777" w:rsidR="00E719A5" w:rsidRPr="00973204" w:rsidRDefault="00E719A5" w:rsidP="00C83DA2">
      <w:pPr>
        <w:spacing w:line="276" w:lineRule="auto"/>
        <w:ind w:left="426" w:hanging="426"/>
        <w:jc w:val="both"/>
        <w:rPr>
          <w:sz w:val="22"/>
          <w:szCs w:val="22"/>
          <w:lang w:val="en-US"/>
        </w:rPr>
      </w:pPr>
      <w:r w:rsidRPr="00973204">
        <w:rPr>
          <w:sz w:val="22"/>
          <w:szCs w:val="22"/>
          <w:lang w:val="en-US"/>
        </w:rPr>
        <w:t xml:space="preserve">GIBSON, JJ </w:t>
      </w:r>
      <w:r w:rsidRPr="00973204">
        <w:rPr>
          <w:i/>
          <w:iCs/>
          <w:sz w:val="22"/>
          <w:szCs w:val="22"/>
          <w:lang w:val="en-US"/>
        </w:rPr>
        <w:t xml:space="preserve">The ecological approach to visual perception </w:t>
      </w:r>
      <w:r w:rsidRPr="00973204">
        <w:rPr>
          <w:sz w:val="22"/>
          <w:szCs w:val="22"/>
          <w:lang w:val="en-US"/>
        </w:rPr>
        <w:t>. Boston: Houghton Mifflin, 1979.</w:t>
      </w:r>
    </w:p>
    <w:p w14:paraId="7616B781" w14:textId="77777777" w:rsidR="00E719A5" w:rsidRPr="00973204" w:rsidRDefault="00E719A5" w:rsidP="00C83DA2">
      <w:pPr>
        <w:spacing w:line="276" w:lineRule="auto"/>
        <w:ind w:left="426" w:hanging="426"/>
        <w:jc w:val="both"/>
        <w:rPr>
          <w:sz w:val="22"/>
          <w:szCs w:val="22"/>
          <w:lang w:val="en-US"/>
        </w:rPr>
      </w:pPr>
      <w:r w:rsidRPr="00973204">
        <w:rPr>
          <w:sz w:val="22"/>
          <w:szCs w:val="22"/>
          <w:lang w:val="en-US"/>
        </w:rPr>
        <w:t xml:space="preserve">JANSSEN, M., CHARALABIDIS, Y., &amp; ZUIDERWIJK, A. Benefits, adoption barriers and myths of open data and open government. </w:t>
      </w:r>
      <w:r w:rsidRPr="00973204">
        <w:rPr>
          <w:i/>
          <w:iCs/>
          <w:sz w:val="22"/>
          <w:szCs w:val="22"/>
          <w:lang w:val="en-US"/>
        </w:rPr>
        <w:t xml:space="preserve">Information Systems Management </w:t>
      </w:r>
      <w:r w:rsidRPr="00973204">
        <w:rPr>
          <w:sz w:val="22"/>
          <w:szCs w:val="22"/>
          <w:lang w:val="en-US"/>
        </w:rPr>
        <w:t xml:space="preserve">, 29(4), 258–268, 2020. DOI: </w:t>
      </w:r>
      <w:hyperlink r:id="rId18" w:history="1">
        <w:r w:rsidRPr="00973204">
          <w:rPr>
            <w:rStyle w:val="Hyperlink"/>
            <w:sz w:val="22"/>
            <w:szCs w:val="22"/>
            <w:lang w:val="en-US"/>
          </w:rPr>
          <w:t>https://doi.org/10.1080/10580530.2012.716740</w:t>
        </w:r>
      </w:hyperlink>
      <w:r w:rsidRPr="00973204">
        <w:rPr>
          <w:sz w:val="22"/>
          <w:szCs w:val="22"/>
          <w:lang w:val="en-US"/>
        </w:rPr>
        <w:t xml:space="preserve"> </w:t>
      </w:r>
    </w:p>
    <w:p w14:paraId="792DB871" w14:textId="04EBE78F" w:rsidR="004E34E2" w:rsidRPr="004E34E2" w:rsidRDefault="004E34E2" w:rsidP="00C83DA2">
      <w:pPr>
        <w:spacing w:line="276" w:lineRule="auto"/>
        <w:ind w:left="426" w:hanging="426"/>
        <w:jc w:val="both"/>
        <w:rPr>
          <w:sz w:val="22"/>
          <w:szCs w:val="22"/>
          <w:lang w:val="en-US"/>
        </w:rPr>
      </w:pPr>
      <w:r>
        <w:rPr>
          <w:sz w:val="22"/>
          <w:szCs w:val="22"/>
          <w:lang w:val="en-US"/>
        </w:rPr>
        <w:t xml:space="preserve">KIM, S., ANDERSEN, K. N., LEE, J. (2021). Platform government in the era of smart technology. </w:t>
      </w:r>
      <w:r>
        <w:rPr>
          <w:i/>
          <w:iCs/>
          <w:sz w:val="22"/>
          <w:szCs w:val="22"/>
          <w:lang w:val="en-US"/>
        </w:rPr>
        <w:t xml:space="preserve">Public Administration Review, </w:t>
      </w:r>
      <w:r>
        <w:rPr>
          <w:sz w:val="22"/>
          <w:szCs w:val="22"/>
          <w:lang w:val="en-US"/>
        </w:rPr>
        <w:t xml:space="preserve">82(2), 362-368. </w:t>
      </w:r>
      <w:hyperlink r:id="rId19" w:history="1">
        <w:r w:rsidRPr="00E50DA3">
          <w:rPr>
            <w:rStyle w:val="Hyperlink"/>
            <w:sz w:val="22"/>
            <w:szCs w:val="22"/>
            <w:lang w:val="en-US"/>
          </w:rPr>
          <w:t>https://doi.org/10.1111/puar.13422</w:t>
        </w:r>
      </w:hyperlink>
      <w:r>
        <w:rPr>
          <w:sz w:val="22"/>
          <w:szCs w:val="22"/>
          <w:lang w:val="en-US"/>
        </w:rPr>
        <w:t xml:space="preserve"> </w:t>
      </w:r>
    </w:p>
    <w:p w14:paraId="608ACB91" w14:textId="2CF2C9A0" w:rsidR="00E719A5" w:rsidRPr="00973204" w:rsidRDefault="00E719A5" w:rsidP="00C83DA2">
      <w:pPr>
        <w:spacing w:line="276" w:lineRule="auto"/>
        <w:ind w:left="426" w:hanging="426"/>
        <w:jc w:val="both"/>
        <w:rPr>
          <w:sz w:val="22"/>
          <w:szCs w:val="22"/>
          <w:lang w:val="en-US"/>
        </w:rPr>
      </w:pPr>
      <w:r w:rsidRPr="00973204">
        <w:rPr>
          <w:sz w:val="22"/>
          <w:szCs w:val="22"/>
          <w:lang w:val="en-US"/>
        </w:rPr>
        <w:t xml:space="preserve">KITCHIN, R. </w:t>
      </w:r>
      <w:r w:rsidRPr="00973204">
        <w:rPr>
          <w:i/>
          <w:iCs/>
          <w:sz w:val="22"/>
          <w:szCs w:val="22"/>
          <w:lang w:val="en-US"/>
        </w:rPr>
        <w:t xml:space="preserve">The data revolution: Big data, open data, data infrastructures and their consequences </w:t>
      </w:r>
      <w:r w:rsidRPr="00973204">
        <w:rPr>
          <w:sz w:val="22"/>
          <w:szCs w:val="22"/>
          <w:lang w:val="en-US"/>
        </w:rPr>
        <w:t>. Thousand Oaks: Sage, 2014.</w:t>
      </w:r>
    </w:p>
    <w:p w14:paraId="47B075AF" w14:textId="77777777" w:rsidR="00E719A5" w:rsidRPr="00973204" w:rsidRDefault="00E719A5" w:rsidP="00C83DA2">
      <w:pPr>
        <w:spacing w:line="276" w:lineRule="auto"/>
        <w:ind w:left="426" w:hanging="426"/>
        <w:jc w:val="both"/>
        <w:rPr>
          <w:sz w:val="22"/>
          <w:szCs w:val="22"/>
          <w:lang w:val="en-US"/>
        </w:rPr>
      </w:pPr>
      <w:r w:rsidRPr="00973204">
        <w:rPr>
          <w:sz w:val="22"/>
          <w:szCs w:val="22"/>
          <w:lang w:val="en-US"/>
        </w:rPr>
        <w:t xml:space="preserve">MARGETTS, H., &amp; DUNLEAVY, P. The political economy of digital government: How Silicon Valley firms drove conversion to data science and artificial intelligence in public management. </w:t>
      </w:r>
      <w:r w:rsidRPr="00973204">
        <w:rPr>
          <w:i/>
          <w:iCs/>
          <w:sz w:val="22"/>
          <w:szCs w:val="22"/>
          <w:lang w:val="en-US"/>
        </w:rPr>
        <w:t xml:space="preserve">Public Money &amp; Management </w:t>
      </w:r>
      <w:r w:rsidRPr="00973204">
        <w:rPr>
          <w:sz w:val="22"/>
          <w:szCs w:val="22"/>
          <w:lang w:val="en-US"/>
        </w:rPr>
        <w:t xml:space="preserve">, 1–11, 2024. DOI: </w:t>
      </w:r>
      <w:hyperlink r:id="rId20">
        <w:r w:rsidRPr="00973204">
          <w:rPr>
            <w:rStyle w:val="Hyperlink"/>
            <w:sz w:val="22"/>
            <w:szCs w:val="22"/>
            <w:lang w:val="en-US"/>
          </w:rPr>
          <w:t>https://doi.org/10.1080/09540962.2024.2389915</w:t>
        </w:r>
      </w:hyperlink>
      <w:r w:rsidRPr="00973204">
        <w:rPr>
          <w:sz w:val="22"/>
          <w:szCs w:val="22"/>
          <w:lang w:val="en-US"/>
        </w:rPr>
        <w:t xml:space="preserve"> </w:t>
      </w:r>
    </w:p>
    <w:p w14:paraId="1DD731A9" w14:textId="77777777" w:rsidR="00E719A5" w:rsidRPr="00973204" w:rsidRDefault="00E719A5" w:rsidP="00C83DA2">
      <w:pPr>
        <w:spacing w:line="276" w:lineRule="auto"/>
        <w:ind w:left="426" w:hanging="426"/>
        <w:jc w:val="both"/>
        <w:rPr>
          <w:sz w:val="22"/>
          <w:szCs w:val="22"/>
        </w:rPr>
      </w:pPr>
      <w:r w:rsidRPr="00973204">
        <w:rPr>
          <w:sz w:val="22"/>
          <w:szCs w:val="22"/>
          <w:lang w:val="en-US"/>
        </w:rPr>
        <w:t xml:space="preserve">MAZZUCATO, M., EAVES, D., &amp; VASCONCELLOS, B. (2024). </w:t>
      </w:r>
      <w:r w:rsidRPr="00973204">
        <w:rPr>
          <w:i/>
          <w:iCs/>
          <w:sz w:val="22"/>
          <w:szCs w:val="22"/>
          <w:lang w:val="en-US"/>
        </w:rPr>
        <w:t xml:space="preserve">Digital public infrastructure and public value: What is 'public' about DPI? </w:t>
      </w:r>
      <w:r w:rsidRPr="00973204">
        <w:rPr>
          <w:sz w:val="22"/>
          <w:szCs w:val="22"/>
          <w:lang w:val="en-US"/>
        </w:rPr>
        <w:t xml:space="preserve">UCL Institute for Innovation and Public Purpose, Working Paper Series (IIPP WP 2024-05), 2024. </w:t>
      </w:r>
      <w:r w:rsidRPr="00973204">
        <w:rPr>
          <w:sz w:val="22"/>
          <w:szCs w:val="22"/>
        </w:rPr>
        <w:t xml:space="preserve">Available at: </w:t>
      </w:r>
      <w:hyperlink r:id="rId21" w:history="1">
        <w:r w:rsidRPr="00973204">
          <w:rPr>
            <w:rStyle w:val="Hyperlink"/>
            <w:sz w:val="22"/>
            <w:szCs w:val="22"/>
          </w:rPr>
          <w:t>https://www.ucl.ac.uk/bartlett/public-purpose/wp2024-05</w:t>
        </w:r>
      </w:hyperlink>
      <w:r w:rsidRPr="00973204">
        <w:rPr>
          <w:sz w:val="22"/>
          <w:szCs w:val="22"/>
        </w:rPr>
        <w:t xml:space="preserve">   </w:t>
      </w:r>
    </w:p>
    <w:p w14:paraId="6398D9A3" w14:textId="77777777" w:rsidR="00E719A5" w:rsidRDefault="00E719A5" w:rsidP="00C83DA2">
      <w:pPr>
        <w:spacing w:line="276" w:lineRule="auto"/>
        <w:ind w:left="426" w:hanging="426"/>
        <w:jc w:val="both"/>
        <w:rPr>
          <w:sz w:val="22"/>
          <w:szCs w:val="22"/>
          <w:lang w:val="en-US"/>
        </w:rPr>
      </w:pPr>
      <w:r w:rsidRPr="00973204">
        <w:rPr>
          <w:sz w:val="22"/>
          <w:szCs w:val="22"/>
          <w:lang w:val="en-US"/>
        </w:rPr>
        <w:lastRenderedPageBreak/>
        <w:t xml:space="preserve">MENDONÇA, RF, FILGUEIRAS, F., ALMEIDA, V. </w:t>
      </w:r>
      <w:r w:rsidRPr="00973204">
        <w:rPr>
          <w:i/>
          <w:iCs/>
          <w:sz w:val="22"/>
          <w:szCs w:val="22"/>
          <w:lang w:val="en-US"/>
        </w:rPr>
        <w:t xml:space="preserve">Algorithmic institutionalism: The changing rules of social and political life. </w:t>
      </w:r>
      <w:r w:rsidRPr="00973204">
        <w:rPr>
          <w:sz w:val="22"/>
          <w:szCs w:val="22"/>
          <w:lang w:val="en-US"/>
        </w:rPr>
        <w:t>Oxford: Oxford University Press, 2023.</w:t>
      </w:r>
    </w:p>
    <w:p w14:paraId="4DC721A9" w14:textId="41CA2E11" w:rsidR="00D573C7" w:rsidRPr="00106E12" w:rsidRDefault="00D573C7" w:rsidP="00C83DA2">
      <w:pPr>
        <w:spacing w:line="276" w:lineRule="auto"/>
        <w:ind w:left="426" w:hanging="426"/>
        <w:jc w:val="both"/>
        <w:rPr>
          <w:rFonts w:ascii="Aptos" w:eastAsia="Times New Roman" w:hAnsi="Aptos" w:cs="Arial"/>
          <w:color w:val="000000"/>
          <w:kern w:val="0"/>
          <w:sz w:val="22"/>
          <w:szCs w:val="22"/>
          <w:lang w:val="en-US" w:eastAsia="pt-BR"/>
          <w14:ligatures w14:val="none"/>
        </w:rPr>
      </w:pPr>
      <w:r>
        <w:rPr>
          <w:rFonts w:ascii="Aptos" w:eastAsia="Times New Roman" w:hAnsi="Aptos" w:cs="Arial"/>
          <w:color w:val="000000"/>
          <w:kern w:val="0"/>
          <w:sz w:val="22"/>
          <w:szCs w:val="22"/>
          <w:lang w:val="en-US" w:eastAsia="pt-BR"/>
          <w14:ligatures w14:val="none"/>
        </w:rPr>
        <w:t xml:space="preserve">MILAN, S., TRERE, E. (2022). Big Data from the South(s): Unpacking the material and symbolic dimensions of data at the margins, in: Rohlinger, DA, Sobieraj, S. (eds). </w:t>
      </w:r>
      <w:r w:rsidRPr="00C83DA2">
        <w:rPr>
          <w:rFonts w:ascii="Aptos" w:eastAsia="Times New Roman" w:hAnsi="Aptos" w:cs="Arial"/>
          <w:i/>
          <w:iCs/>
          <w:color w:val="000000"/>
          <w:kern w:val="0"/>
          <w:sz w:val="22"/>
          <w:szCs w:val="22"/>
          <w:lang w:val="en-US" w:eastAsia="pt-BR"/>
          <w14:ligatures w14:val="none"/>
        </w:rPr>
        <w:t xml:space="preserve">Oxford Handbook of Digital Media Sociology </w:t>
      </w:r>
      <w:r w:rsidR="00106E12">
        <w:rPr>
          <w:rFonts w:ascii="Aptos" w:eastAsia="Times New Roman" w:hAnsi="Aptos" w:cs="Arial"/>
          <w:color w:val="000000"/>
          <w:kern w:val="0"/>
          <w:sz w:val="22"/>
          <w:szCs w:val="22"/>
          <w:lang w:val="en-US" w:eastAsia="pt-BR"/>
          <w14:ligatures w14:val="none"/>
        </w:rPr>
        <w:t>. Oxford: Oxford University Press, pp. 76-96.</w:t>
      </w:r>
    </w:p>
    <w:p w14:paraId="79E239B9" w14:textId="77777777" w:rsidR="00E719A5" w:rsidRPr="00973204" w:rsidRDefault="00E719A5" w:rsidP="00C83DA2">
      <w:pPr>
        <w:spacing w:line="276" w:lineRule="auto"/>
        <w:ind w:left="426" w:hanging="426"/>
        <w:jc w:val="both"/>
        <w:rPr>
          <w:sz w:val="22"/>
          <w:szCs w:val="22"/>
          <w:lang w:val="en-US"/>
        </w:rPr>
      </w:pPr>
      <w:r w:rsidRPr="00973204">
        <w:rPr>
          <w:sz w:val="22"/>
          <w:szCs w:val="22"/>
          <w:lang w:val="en-US"/>
        </w:rPr>
        <w:t xml:space="preserve">NORMAN, DA </w:t>
      </w:r>
      <w:r w:rsidRPr="00973204">
        <w:rPr>
          <w:i/>
          <w:iCs/>
          <w:sz w:val="22"/>
          <w:szCs w:val="22"/>
          <w:lang w:val="en-US"/>
        </w:rPr>
        <w:t xml:space="preserve">The design of everyday things: Revised and expanded edition </w:t>
      </w:r>
      <w:r w:rsidRPr="00973204">
        <w:rPr>
          <w:sz w:val="22"/>
          <w:szCs w:val="22"/>
          <w:lang w:val="en-US"/>
        </w:rPr>
        <w:t>. New York: Basic Books, 2013.</w:t>
      </w:r>
    </w:p>
    <w:p w14:paraId="76CD638B" w14:textId="6480DF5A" w:rsidR="00E719A5" w:rsidRPr="002B2FBD" w:rsidRDefault="00E719A5" w:rsidP="00C83DA2">
      <w:pPr>
        <w:spacing w:line="276" w:lineRule="auto"/>
        <w:ind w:left="426" w:hanging="426"/>
        <w:jc w:val="both"/>
        <w:rPr>
          <w:rFonts w:eastAsiaTheme="minorEastAsia"/>
          <w:sz w:val="22"/>
          <w:szCs w:val="22"/>
          <w:lang w:val="en-US"/>
        </w:rPr>
      </w:pPr>
      <w:r w:rsidRPr="00973204">
        <w:rPr>
          <w:rFonts w:eastAsiaTheme="minorEastAsia"/>
          <w:sz w:val="22"/>
          <w:szCs w:val="22"/>
          <w:lang w:val="en-US"/>
        </w:rPr>
        <w:t xml:space="preserve">RIKAP, C. Intellectual monopolies as a new pattern of innovation and technological regime, </w:t>
      </w:r>
      <w:r w:rsidRPr="00973204">
        <w:rPr>
          <w:rFonts w:eastAsiaTheme="minorEastAsia"/>
          <w:i/>
          <w:iCs/>
          <w:sz w:val="22"/>
          <w:szCs w:val="22"/>
          <w:lang w:val="en-US"/>
        </w:rPr>
        <w:t xml:space="preserve">Industrial and Corporate Change </w:t>
      </w:r>
      <w:r w:rsidRPr="00973204">
        <w:rPr>
          <w:rFonts w:eastAsiaTheme="minorEastAsia"/>
          <w:sz w:val="22"/>
          <w:szCs w:val="22"/>
          <w:lang w:val="en-US"/>
        </w:rPr>
        <w:t xml:space="preserve">, 33(5), 1037-1062, 2024, DOI: </w:t>
      </w:r>
      <w:hyperlink r:id="rId22">
        <w:r w:rsidRPr="00973204">
          <w:rPr>
            <w:rStyle w:val="Hyperlink"/>
            <w:rFonts w:eastAsiaTheme="minorEastAsia"/>
            <w:color w:val="006FB7"/>
            <w:sz w:val="22"/>
            <w:szCs w:val="22"/>
            <w:u w:val="none"/>
            <w:lang w:val="en-US"/>
          </w:rPr>
          <w:t>https://doi.org/10.1093/icc/dtad077</w:t>
        </w:r>
      </w:hyperlink>
      <w:r w:rsidR="004E3859" w:rsidRPr="00C83DA2">
        <w:rPr>
          <w:lang w:val="en-US"/>
        </w:rPr>
        <w:t xml:space="preserve">  </w:t>
      </w:r>
    </w:p>
    <w:p w14:paraId="4070B6B8" w14:textId="77777777" w:rsidR="00E719A5" w:rsidRPr="00F10DC5" w:rsidRDefault="00E719A5" w:rsidP="00C83DA2">
      <w:pPr>
        <w:spacing w:line="276" w:lineRule="auto"/>
        <w:ind w:left="426" w:hanging="426"/>
        <w:jc w:val="both"/>
        <w:rPr>
          <w:sz w:val="22"/>
          <w:szCs w:val="22"/>
          <w:lang w:val="pt-BR"/>
        </w:rPr>
      </w:pPr>
      <w:r w:rsidRPr="00F10DC5">
        <w:rPr>
          <w:sz w:val="22"/>
          <w:szCs w:val="22"/>
          <w:lang w:val="pt-BR"/>
        </w:rPr>
        <w:t xml:space="preserve">SEGATTO, Catarina Ianni; SILVA, André Luis Nogueira da; ABRUCIO, Fernando Luiz. </w:t>
      </w:r>
      <w:r w:rsidRPr="00973204">
        <w:rPr>
          <w:sz w:val="22"/>
          <w:szCs w:val="22"/>
        </w:rPr>
        <w:t xml:space="preserve">Federal diffusion in Brazilian education: the vertical and horizontal role of the States. </w:t>
      </w:r>
      <w:r w:rsidRPr="00F10DC5">
        <w:rPr>
          <w:sz w:val="22"/>
          <w:szCs w:val="22"/>
          <w:lang w:val="pt-BR"/>
        </w:rPr>
        <w:t xml:space="preserve">In: PALOTTI, Pedro; LICIO, Elaine Cristina; GOMES, Sandra; SEGATTO, Catarina Ianni; SILVA, André Luis Nogueira da (org.). </w:t>
      </w:r>
      <w:r w:rsidRPr="00973204">
        <w:rPr>
          <w:sz w:val="22"/>
          <w:szCs w:val="22"/>
        </w:rPr>
        <w:t xml:space="preserve">And the States? Federalism, intergovernmental relations and public policies in contemporary Brazil. </w:t>
      </w:r>
      <w:r w:rsidRPr="00F10DC5">
        <w:rPr>
          <w:sz w:val="22"/>
          <w:szCs w:val="22"/>
          <w:lang w:val="pt-BR"/>
        </w:rPr>
        <w:t xml:space="preserve">Rio de Janeiro: Ipea, 2023. p. 265-284. DOI: </w:t>
      </w:r>
      <w:hyperlink r:id="rId23" w:history="1">
        <w:r w:rsidRPr="00F10DC5">
          <w:rPr>
            <w:rStyle w:val="Hyperlink"/>
            <w:sz w:val="22"/>
            <w:szCs w:val="22"/>
            <w:lang w:val="pt-BR"/>
          </w:rPr>
          <w:t>http://dx.doi.org/10.38116/9786556350509cap9</w:t>
        </w:r>
      </w:hyperlink>
      <w:r w:rsidRPr="00F10DC5">
        <w:rPr>
          <w:sz w:val="22"/>
          <w:szCs w:val="22"/>
          <w:lang w:val="pt-BR"/>
        </w:rPr>
        <w:t xml:space="preserve"> </w:t>
      </w:r>
    </w:p>
    <w:p w14:paraId="3F1E87FC" w14:textId="77777777" w:rsidR="00E719A5" w:rsidRPr="00973204" w:rsidRDefault="00E719A5" w:rsidP="00C83DA2">
      <w:pPr>
        <w:spacing w:line="276" w:lineRule="auto"/>
        <w:ind w:left="426" w:hanging="426"/>
        <w:jc w:val="both"/>
        <w:rPr>
          <w:sz w:val="22"/>
          <w:szCs w:val="22"/>
          <w:lang w:val="en-US"/>
        </w:rPr>
      </w:pPr>
      <w:r w:rsidRPr="00973204">
        <w:rPr>
          <w:sz w:val="22"/>
          <w:szCs w:val="22"/>
          <w:lang w:val="en-US"/>
        </w:rPr>
        <w:t xml:space="preserve">SEIDEL, S., BERENTE, N., BAIYERE, A. Stability and change in digital transformation: A repertoire model of institutionally embedded technology affordances. Information and Organization, 35 (2), 100564, 2025. </w:t>
      </w:r>
      <w:hyperlink r:id="rId24">
        <w:r w:rsidRPr="00973204">
          <w:rPr>
            <w:rStyle w:val="Hyperlink"/>
            <w:sz w:val="22"/>
            <w:szCs w:val="22"/>
            <w:lang w:val="en-US"/>
          </w:rPr>
          <w:t>https://doi.org/10.1016/j.infoandorg.2025.100564</w:t>
        </w:r>
      </w:hyperlink>
      <w:r w:rsidRPr="00973204">
        <w:rPr>
          <w:sz w:val="22"/>
          <w:szCs w:val="22"/>
          <w:lang w:val="en-US"/>
        </w:rPr>
        <w:t xml:space="preserve"> </w:t>
      </w:r>
    </w:p>
    <w:p w14:paraId="1153B1E8" w14:textId="77777777" w:rsidR="00E719A5" w:rsidRDefault="00E719A5">
      <w:pPr>
        <w:spacing w:line="276" w:lineRule="auto"/>
        <w:ind w:left="426" w:hanging="426"/>
        <w:jc w:val="both"/>
        <w:rPr>
          <w:sz w:val="22"/>
          <w:szCs w:val="22"/>
          <w:lang w:val="en-US"/>
        </w:rPr>
      </w:pPr>
      <w:r w:rsidRPr="00973204">
        <w:rPr>
          <w:sz w:val="22"/>
          <w:szCs w:val="22"/>
          <w:lang w:val="en-US"/>
        </w:rPr>
        <w:t xml:space="preserve">SELWYN, N. </w:t>
      </w:r>
      <w:r w:rsidRPr="00973204">
        <w:rPr>
          <w:i/>
          <w:iCs/>
          <w:sz w:val="22"/>
          <w:szCs w:val="22"/>
          <w:lang w:val="en-US"/>
        </w:rPr>
        <w:t xml:space="preserve">Should robots replace teachers? AI and the future of education </w:t>
      </w:r>
      <w:r w:rsidRPr="00973204">
        <w:rPr>
          <w:sz w:val="22"/>
          <w:szCs w:val="22"/>
          <w:lang w:val="en-US"/>
        </w:rPr>
        <w:t>. New York: Polity Press, 2019.</w:t>
      </w:r>
    </w:p>
    <w:p w14:paraId="35C7FED6" w14:textId="7F1574B5" w:rsidR="00E81B79" w:rsidRDefault="00E81B79">
      <w:pPr>
        <w:spacing w:line="276" w:lineRule="auto"/>
        <w:ind w:left="426" w:hanging="426"/>
        <w:jc w:val="both"/>
        <w:rPr>
          <w:sz w:val="22"/>
          <w:szCs w:val="22"/>
          <w:lang w:val="en-US"/>
        </w:rPr>
      </w:pPr>
      <w:r>
        <w:rPr>
          <w:sz w:val="22"/>
          <w:szCs w:val="22"/>
          <w:lang w:val="en-US"/>
        </w:rPr>
        <w:t xml:space="preserve">SWAN, M. (2015) </w:t>
      </w:r>
      <w:r w:rsidRPr="00C83DA2">
        <w:rPr>
          <w:i/>
          <w:iCs/>
          <w:sz w:val="22"/>
          <w:szCs w:val="22"/>
          <w:lang w:val="en-US"/>
        </w:rPr>
        <w:t xml:space="preserve">Blockchain: Blueprint for a new economy </w:t>
      </w:r>
      <w:r w:rsidRPr="00C83DA2">
        <w:rPr>
          <w:sz w:val="22"/>
          <w:szCs w:val="22"/>
          <w:lang w:val="en-US"/>
        </w:rPr>
        <w:t>. Sevastopol: O'Reilly Media.</w:t>
      </w:r>
    </w:p>
    <w:p w14:paraId="5C1404FD" w14:textId="4D82706C" w:rsidR="00B11BF7" w:rsidRPr="00973204" w:rsidRDefault="00B11BF7" w:rsidP="00C83DA2">
      <w:pPr>
        <w:spacing w:line="276" w:lineRule="auto"/>
        <w:ind w:left="426" w:hanging="426"/>
        <w:jc w:val="both"/>
        <w:rPr>
          <w:sz w:val="22"/>
          <w:szCs w:val="22"/>
          <w:lang w:val="en-US"/>
        </w:rPr>
      </w:pPr>
      <w:r w:rsidRPr="00C83DA2">
        <w:rPr>
          <w:sz w:val="22"/>
          <w:szCs w:val="22"/>
          <w:lang w:val="en-US"/>
        </w:rPr>
        <w:t xml:space="preserve">TAPSCOTT, D.; TAPSCOTT, A. (2016). </w:t>
      </w:r>
      <w:r w:rsidRPr="00C83DA2">
        <w:rPr>
          <w:i/>
          <w:iCs/>
          <w:sz w:val="22"/>
          <w:szCs w:val="22"/>
          <w:lang w:val="en-US"/>
        </w:rPr>
        <w:t xml:space="preserve">Blockchain revolution: How the technology behind bitcoin Is changing money, business, and the world </w:t>
      </w:r>
      <w:r w:rsidRPr="00C83DA2">
        <w:rPr>
          <w:sz w:val="22"/>
          <w:szCs w:val="22"/>
          <w:lang w:val="en-US"/>
        </w:rPr>
        <w:t>. New York: Portfolio/Penguin.</w:t>
      </w:r>
    </w:p>
    <w:p w14:paraId="52DCBF36" w14:textId="67CDBC9A" w:rsidR="00E719A5" w:rsidRPr="00973204" w:rsidRDefault="00E719A5" w:rsidP="00C83DA2">
      <w:pPr>
        <w:spacing w:line="276" w:lineRule="auto"/>
        <w:ind w:left="426" w:hanging="426"/>
        <w:jc w:val="both"/>
        <w:rPr>
          <w:sz w:val="22"/>
          <w:szCs w:val="22"/>
          <w:lang w:val="en-US"/>
        </w:rPr>
      </w:pPr>
      <w:r w:rsidRPr="00973204">
        <w:rPr>
          <w:sz w:val="22"/>
          <w:szCs w:val="22"/>
          <w:lang w:val="en-US"/>
        </w:rPr>
        <w:t xml:space="preserve">VIAL, G. Understanding digital transformation: A review and a research agenda. </w:t>
      </w:r>
      <w:r w:rsidRPr="00973204">
        <w:rPr>
          <w:i/>
          <w:iCs/>
          <w:sz w:val="22"/>
          <w:szCs w:val="22"/>
          <w:lang w:val="en-US"/>
        </w:rPr>
        <w:t xml:space="preserve">The Journal of Strategic Information Systems </w:t>
      </w:r>
      <w:r w:rsidRPr="00973204">
        <w:rPr>
          <w:sz w:val="22"/>
          <w:szCs w:val="22"/>
          <w:lang w:val="en-US"/>
        </w:rPr>
        <w:t xml:space="preserve">, 28(2), 118–144, 2019. DOI: </w:t>
      </w:r>
      <w:hyperlink r:id="rId25">
        <w:r w:rsidRPr="00973204">
          <w:rPr>
            <w:rStyle w:val="Hyperlink"/>
            <w:sz w:val="22"/>
            <w:szCs w:val="22"/>
            <w:lang w:val="en-US"/>
          </w:rPr>
          <w:t>https://doi.org/10.1016/j.jsis.2019.01.003</w:t>
        </w:r>
      </w:hyperlink>
      <w:r w:rsidRPr="00973204">
        <w:rPr>
          <w:sz w:val="22"/>
          <w:szCs w:val="22"/>
          <w:lang w:val="en-US"/>
        </w:rPr>
        <w:t xml:space="preserve"> </w:t>
      </w:r>
    </w:p>
    <w:p w14:paraId="4E3C0269" w14:textId="787FBD24" w:rsidR="00035F01" w:rsidRDefault="00035F01" w:rsidP="0055377D">
      <w:pPr>
        <w:spacing w:line="276" w:lineRule="auto"/>
        <w:ind w:left="426" w:hanging="426"/>
        <w:jc w:val="both"/>
        <w:rPr>
          <w:sz w:val="22"/>
          <w:szCs w:val="22"/>
          <w:lang w:val="en-US"/>
        </w:rPr>
      </w:pPr>
      <w:r w:rsidRPr="00C83DA2">
        <w:rPr>
          <w:sz w:val="22"/>
          <w:szCs w:val="22"/>
          <w:lang w:val="en-US"/>
        </w:rPr>
        <w:t xml:space="preserve">WILLIAMSON, B., PIATTOEVA, N. (2019). Objectivity as standardization in data-scientific education policy, technology and governance. </w:t>
      </w:r>
      <w:r w:rsidRPr="00C83DA2">
        <w:rPr>
          <w:i/>
          <w:iCs/>
          <w:sz w:val="22"/>
          <w:szCs w:val="22"/>
          <w:lang w:val="en-US"/>
        </w:rPr>
        <w:t xml:space="preserve">Learning, Media and Technology </w:t>
      </w:r>
      <w:r w:rsidRPr="00C83DA2">
        <w:rPr>
          <w:sz w:val="22"/>
          <w:szCs w:val="22"/>
          <w:lang w:val="en-US"/>
        </w:rPr>
        <w:t xml:space="preserve">, 44 (1), 64–76. </w:t>
      </w:r>
      <w:hyperlink r:id="rId26" w:history="1">
        <w:r w:rsidRPr="00C83DA2">
          <w:rPr>
            <w:rStyle w:val="Hyperlink"/>
            <w:sz w:val="22"/>
            <w:szCs w:val="22"/>
            <w:lang w:val="en-US"/>
          </w:rPr>
          <w:t>https://doi.org/10.1080/17439884.2018.1556215</w:t>
        </w:r>
      </w:hyperlink>
      <w:r w:rsidRPr="00C83DA2">
        <w:rPr>
          <w:sz w:val="22"/>
          <w:szCs w:val="22"/>
          <w:lang w:val="en-US"/>
        </w:rPr>
        <w:t xml:space="preserve"> </w:t>
      </w:r>
    </w:p>
    <w:p w14:paraId="79A061B7" w14:textId="793DADA8" w:rsidR="00E719A5" w:rsidRDefault="00E719A5">
      <w:pPr>
        <w:spacing w:line="276" w:lineRule="auto"/>
        <w:ind w:left="426" w:hanging="426"/>
        <w:jc w:val="both"/>
        <w:rPr>
          <w:sz w:val="22"/>
          <w:szCs w:val="22"/>
          <w:lang w:val="en-US"/>
        </w:rPr>
      </w:pPr>
      <w:r w:rsidRPr="00973204">
        <w:rPr>
          <w:sz w:val="22"/>
          <w:szCs w:val="22"/>
          <w:lang w:val="en-US"/>
        </w:rPr>
        <w:t xml:space="preserve">WILLIAMSON, B. </w:t>
      </w:r>
      <w:r w:rsidRPr="00973204">
        <w:rPr>
          <w:i/>
          <w:iCs/>
          <w:sz w:val="22"/>
          <w:szCs w:val="22"/>
          <w:lang w:val="en-US"/>
        </w:rPr>
        <w:t xml:space="preserve">Big data in education: The digital future of learning, policy and practice </w:t>
      </w:r>
      <w:r w:rsidRPr="00973204">
        <w:rPr>
          <w:sz w:val="22"/>
          <w:szCs w:val="22"/>
          <w:lang w:val="en-US"/>
        </w:rPr>
        <w:t>. Thousand Oaks: Sage, 2017.</w:t>
      </w:r>
    </w:p>
    <w:p w14:paraId="57E0D278" w14:textId="3749DD93" w:rsidR="001238A4" w:rsidRPr="00AC2877" w:rsidRDefault="001238A4" w:rsidP="00C83DA2">
      <w:pPr>
        <w:spacing w:line="276" w:lineRule="auto"/>
        <w:ind w:left="426" w:hanging="426"/>
        <w:jc w:val="both"/>
        <w:rPr>
          <w:sz w:val="22"/>
          <w:szCs w:val="22"/>
          <w:lang w:val="en-US"/>
        </w:rPr>
      </w:pPr>
      <w:r>
        <w:rPr>
          <w:sz w:val="22"/>
          <w:szCs w:val="22"/>
          <w:lang w:val="en-US"/>
        </w:rPr>
        <w:t xml:space="preserve">ZUBOFF. S. (2019). </w:t>
      </w:r>
      <w:r w:rsidR="00AC2877">
        <w:rPr>
          <w:i/>
          <w:iCs/>
          <w:sz w:val="22"/>
          <w:szCs w:val="22"/>
          <w:lang w:val="en-US"/>
        </w:rPr>
        <w:t xml:space="preserve">The age of surveillance capitalism. </w:t>
      </w:r>
      <w:r w:rsidR="00E8414C">
        <w:rPr>
          <w:sz w:val="22"/>
          <w:szCs w:val="22"/>
          <w:lang w:val="en-US"/>
        </w:rPr>
        <w:t>The fight for a human future at the new frontier of power. New York: Public Affairs.</w:t>
      </w:r>
    </w:p>
    <w:p w14:paraId="72A55DCE" w14:textId="77777777" w:rsidR="007D7055" w:rsidRPr="00973204" w:rsidRDefault="007D7055" w:rsidP="00C83DA2">
      <w:pPr>
        <w:spacing w:after="0" w:line="276" w:lineRule="auto"/>
        <w:ind w:firstLine="567"/>
        <w:jc w:val="both"/>
        <w:rPr>
          <w:sz w:val="22"/>
          <w:szCs w:val="22"/>
          <w:lang w:val="en-US"/>
        </w:rPr>
      </w:pPr>
    </w:p>
    <w:sectPr w:rsidR="007D7055" w:rsidRPr="00973204" w:rsidSect="00C83DA2">
      <w:pgSz w:w="11906" w:h="16838"/>
      <w:pgMar w:top="1417" w:right="17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638E" w14:textId="77777777" w:rsidR="00F06CBD" w:rsidRDefault="00F06CBD" w:rsidP="002A2D5D">
      <w:pPr>
        <w:spacing w:after="0" w:line="240" w:lineRule="auto"/>
      </w:pPr>
      <w:r>
        <w:separator/>
      </w:r>
    </w:p>
  </w:endnote>
  <w:endnote w:type="continuationSeparator" w:id="0">
    <w:p w14:paraId="22ABE480" w14:textId="77777777" w:rsidR="00F06CBD" w:rsidRDefault="00F06CBD" w:rsidP="002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6393" w14:textId="77777777" w:rsidR="00F06CBD" w:rsidRDefault="00F06CBD" w:rsidP="002A2D5D">
      <w:pPr>
        <w:spacing w:after="0" w:line="240" w:lineRule="auto"/>
      </w:pPr>
      <w:r>
        <w:separator/>
      </w:r>
    </w:p>
  </w:footnote>
  <w:footnote w:type="continuationSeparator" w:id="0">
    <w:p w14:paraId="2161FAD9" w14:textId="77777777" w:rsidR="00F06CBD" w:rsidRDefault="00F06CBD" w:rsidP="002A2D5D">
      <w:pPr>
        <w:spacing w:after="0" w:line="240" w:lineRule="auto"/>
      </w:pPr>
      <w:r>
        <w:continuationSeparator/>
      </w:r>
    </w:p>
  </w:footnote>
  <w:footnote w:id="1">
    <w:p w14:paraId="237A643E" w14:textId="77777777" w:rsidR="00C2086C" w:rsidRPr="00C2086C" w:rsidRDefault="00C2086C" w:rsidP="00C2086C">
      <w:pPr>
        <w:pStyle w:val="Textodenotaderodap"/>
        <w:jc w:val="both"/>
        <w:rPr>
          <w:rFonts w:ascii="Aptos" w:hAnsi="Aptos"/>
          <w:sz w:val="18"/>
          <w:szCs w:val="18"/>
        </w:rPr>
      </w:pPr>
      <w:r w:rsidRPr="00C2086C">
        <w:rPr>
          <w:rStyle w:val="Refdenotaderodap"/>
          <w:rFonts w:ascii="Aptos" w:hAnsi="Aptos"/>
          <w:sz w:val="18"/>
          <w:szCs w:val="18"/>
        </w:rPr>
        <w:t xml:space="preserve">* </w:t>
      </w:r>
      <w:r w:rsidRPr="00C2086C">
        <w:rPr>
          <w:rFonts w:ascii="Aptos" w:hAnsi="Aptos"/>
          <w:sz w:val="18"/>
          <w:szCs w:val="18"/>
        </w:rPr>
        <w:t>Evânio Antônio de Araújo Júnior is the Secretary of Information Management, Innovation and Evaluation of Educational Policies at the Ministry of Education (MEC). He is a member of the career track of Specialist in Public Policies and Government Management. He holds a Master's degree in Public Administration from the Harvard Kennedy School. of Government .</w:t>
      </w:r>
    </w:p>
  </w:footnote>
  <w:footnote w:id="2">
    <w:p w14:paraId="2964730B" w14:textId="4CFFB4EC" w:rsidR="00C2086C" w:rsidRPr="00C2086C" w:rsidRDefault="00C2086C" w:rsidP="00C2086C">
      <w:pPr>
        <w:pStyle w:val="Textodenotaderodap"/>
        <w:jc w:val="both"/>
        <w:rPr>
          <w:rFonts w:ascii="Aptos" w:hAnsi="Aptos"/>
          <w:sz w:val="18"/>
          <w:szCs w:val="18"/>
        </w:rPr>
      </w:pPr>
      <w:r w:rsidRPr="00C2086C">
        <w:rPr>
          <w:rStyle w:val="Refdenotaderodap"/>
          <w:rFonts w:ascii="Aptos" w:hAnsi="Aptos"/>
          <w:sz w:val="18"/>
          <w:szCs w:val="18"/>
        </w:rPr>
        <w:t xml:space="preserve">** </w:t>
      </w:r>
      <w:r w:rsidRPr="00C2086C">
        <w:rPr>
          <w:rFonts w:ascii="Aptos" w:hAnsi="Aptos"/>
          <w:sz w:val="18"/>
          <w:szCs w:val="18"/>
        </w:rPr>
        <w:t>Fernando Filgueiras is Director of Innovation, Digital Strategy and Knowledge at the Secretariat for Information Management, Innovation and Evaluation of Educational Policies (SEGAPE), Ministry of Education. Associate Professor at the Federal University of Goiás (UFG). Professor in the Professional Doctorate in Public Polic</w:t>
      </w:r>
      <w:r w:rsidR="00F753A3">
        <w:rPr>
          <w:rFonts w:ascii="Aptos" w:hAnsi="Aptos"/>
          <w:sz w:val="18"/>
          <w:szCs w:val="18"/>
        </w:rPr>
        <w:t>y</w:t>
      </w:r>
      <w:r w:rsidRPr="00C2086C">
        <w:rPr>
          <w:rFonts w:ascii="Aptos" w:hAnsi="Aptos"/>
          <w:sz w:val="18"/>
          <w:szCs w:val="18"/>
        </w:rPr>
        <w:t xml:space="preserve"> at the National School of Public Administration (ENAP). Researcher at the National Council for Scientific and Technological Development (CNPq) and the National Institute of Science and Technology </w:t>
      </w:r>
      <w:r w:rsidR="00F753A3">
        <w:rPr>
          <w:rFonts w:ascii="Aptos" w:hAnsi="Aptos"/>
          <w:sz w:val="18"/>
          <w:szCs w:val="18"/>
        </w:rPr>
        <w:t>–</w:t>
      </w:r>
      <w:r w:rsidRPr="00C2086C">
        <w:rPr>
          <w:rFonts w:ascii="Aptos" w:hAnsi="Aptos"/>
          <w:sz w:val="18"/>
          <w:szCs w:val="18"/>
        </w:rPr>
        <w:t xml:space="preserve"> </w:t>
      </w:r>
      <w:r w:rsidR="00F753A3">
        <w:rPr>
          <w:rFonts w:ascii="Aptos" w:hAnsi="Aptos"/>
          <w:sz w:val="18"/>
          <w:szCs w:val="18"/>
        </w:rPr>
        <w:t xml:space="preserve">Quality of </w:t>
      </w:r>
      <w:r w:rsidRPr="00C2086C">
        <w:rPr>
          <w:rFonts w:ascii="Aptos" w:hAnsi="Aptos"/>
          <w:sz w:val="18"/>
          <w:szCs w:val="18"/>
        </w:rPr>
        <w:t>Government.</w:t>
      </w:r>
    </w:p>
  </w:footnote>
  <w:footnote w:id="3">
    <w:p w14:paraId="689C7F31" w14:textId="4298C102" w:rsidR="00035E9B" w:rsidRPr="00C2086C" w:rsidRDefault="00035E9B" w:rsidP="00C2086C">
      <w:pPr>
        <w:pStyle w:val="Textodenotaderodap"/>
        <w:jc w:val="both"/>
        <w:rPr>
          <w:rFonts w:ascii="Aptos" w:hAnsi="Aptos"/>
          <w:sz w:val="18"/>
          <w:szCs w:val="18"/>
        </w:rPr>
      </w:pPr>
      <w:r w:rsidRPr="00C2086C">
        <w:rPr>
          <w:rStyle w:val="Refdenotaderodap"/>
          <w:rFonts w:ascii="Aptos" w:hAnsi="Aptos"/>
          <w:sz w:val="18"/>
          <w:szCs w:val="18"/>
        </w:rPr>
        <w:footnoteRef/>
      </w:r>
      <w:r w:rsidRPr="00C2086C">
        <w:rPr>
          <w:rFonts w:ascii="Aptos" w:hAnsi="Aptos"/>
          <w:sz w:val="18"/>
          <w:szCs w:val="18"/>
        </w:rPr>
        <w:t xml:space="preserve"> </w:t>
      </w:r>
      <w:r w:rsidR="009107E2" w:rsidRPr="00C2086C">
        <w:rPr>
          <w:rFonts w:ascii="Aptos" w:hAnsi="Aptos"/>
          <w:sz w:val="18"/>
          <w:szCs w:val="18"/>
        </w:rPr>
        <w:t xml:space="preserve">Affordance is a concept originally proposed by psychologist James Gibson (1979) in his theory of ecological perception, referring to the possibilities for action that the environment offers an organism, regardless of its ability to perceive them. The term gained great relevance in the field of design when Donald Norman (2013) adapted it in his book " </w:t>
      </w:r>
      <w:r w:rsidR="009107E2" w:rsidRPr="00C2086C">
        <w:rPr>
          <w:rFonts w:ascii="Aptos" w:hAnsi="Aptos"/>
          <w:i/>
          <w:iCs/>
          <w:sz w:val="18"/>
          <w:szCs w:val="18"/>
        </w:rPr>
        <w:t xml:space="preserve">The Design of Everyday " Things , " </w:t>
      </w:r>
      <w:r w:rsidR="009107E2" w:rsidRPr="00C2086C">
        <w:rPr>
          <w:rFonts w:ascii="Aptos" w:hAnsi="Aptos"/>
          <w:sz w:val="18"/>
          <w:szCs w:val="18"/>
        </w:rPr>
        <w:t xml:space="preserve">introducing the distinction between real </w:t>
      </w:r>
      <w:r w:rsidR="009107E2" w:rsidRPr="00C2086C">
        <w:rPr>
          <w:rFonts w:ascii="Aptos" w:hAnsi="Aptos"/>
          <w:i/>
          <w:iCs/>
          <w:sz w:val="18"/>
          <w:szCs w:val="18"/>
        </w:rPr>
        <w:t xml:space="preserve">affordances </w:t>
      </w:r>
      <w:r w:rsidR="009107E2" w:rsidRPr="00C2086C">
        <w:rPr>
          <w:rFonts w:ascii="Aptos" w:hAnsi="Aptos"/>
          <w:sz w:val="18"/>
          <w:szCs w:val="18"/>
        </w:rPr>
        <w:t xml:space="preserve">and perceived </w:t>
      </w:r>
      <w:r w:rsidR="009107E2" w:rsidRPr="00C2086C">
        <w:rPr>
          <w:rFonts w:ascii="Aptos" w:hAnsi="Aptos"/>
          <w:i/>
          <w:iCs/>
          <w:sz w:val="18"/>
          <w:szCs w:val="18"/>
        </w:rPr>
        <w:t xml:space="preserve">affordances </w:t>
      </w:r>
      <w:r w:rsidR="009107E2" w:rsidRPr="00C2086C">
        <w:rPr>
          <w:rFonts w:ascii="Aptos" w:hAnsi="Aptos"/>
          <w:sz w:val="18"/>
          <w:szCs w:val="18"/>
        </w:rPr>
        <w:t>, emphasized that well-designed objects should clearly communicate their usability through visual and tactile cues. Since then, the concept has become fundamental to interaction and interface design. This conceptual evolution remains central to understanding how users interpret and interact with digital products, environments, and systems.</w:t>
      </w:r>
    </w:p>
  </w:footnote>
  <w:footnote w:id="4">
    <w:p w14:paraId="3B3E6CCB" w14:textId="5005742B" w:rsidR="6659482D" w:rsidRPr="00C2086C" w:rsidRDefault="6659482D" w:rsidP="00C2086C">
      <w:pPr>
        <w:pStyle w:val="Textodenotaderodap"/>
        <w:jc w:val="both"/>
        <w:rPr>
          <w:rFonts w:ascii="Aptos" w:eastAsia="Segoe UI" w:hAnsi="Aptos" w:cs="Segoe UI"/>
          <w:color w:val="7DB0FF"/>
          <w:sz w:val="18"/>
          <w:szCs w:val="18"/>
        </w:rPr>
      </w:pPr>
      <w:r w:rsidRPr="00C2086C">
        <w:rPr>
          <w:rStyle w:val="Refdenotaderodap"/>
          <w:rFonts w:ascii="Aptos" w:hAnsi="Aptos"/>
          <w:sz w:val="18"/>
          <w:szCs w:val="18"/>
        </w:rPr>
        <w:footnoteRef/>
      </w:r>
      <w:r w:rsidR="3EB1B211" w:rsidRPr="00C2086C">
        <w:rPr>
          <w:rFonts w:ascii="Aptos" w:hAnsi="Aptos"/>
          <w:sz w:val="18"/>
          <w:szCs w:val="18"/>
        </w:rPr>
        <w:t xml:space="preserve"> </w:t>
      </w:r>
      <w:hyperlink r:id="rId1" w:history="1">
        <w:r w:rsidR="3EB1B211" w:rsidRPr="00C2086C">
          <w:rPr>
            <w:rStyle w:val="Hyperlink"/>
            <w:rFonts w:ascii="Aptos" w:eastAsia="Segoe UI" w:hAnsi="Aptos" w:cs="Segoe UI"/>
            <w:color w:val="7DB0FF"/>
            <w:sz w:val="18"/>
            <w:szCs w:val="18"/>
          </w:rPr>
          <w:t>https://www.gov.br/gestao/pt-br/assuntos/noticias/2025/se/mais-de-130-milhoes-de-brasileiros-ja-utilizaram-o-gov-br-em-2025</w:t>
        </w:r>
      </w:hyperlink>
      <w:r w:rsidR="3EB1B211" w:rsidRPr="00C2086C">
        <w:rPr>
          <w:rFonts w:ascii="Aptos" w:eastAsia="Segoe UI" w:hAnsi="Aptos" w:cs="Segoe UI"/>
          <w:color w:val="7DB0FF"/>
          <w:sz w:val="18"/>
          <w:szCs w:val="18"/>
        </w:rPr>
        <w:t xml:space="preserve"> </w:t>
      </w:r>
    </w:p>
  </w:footnote>
  <w:footnote w:id="5">
    <w:p w14:paraId="1D26C303" w14:textId="2666F464" w:rsidR="0037288A" w:rsidRPr="00C2086C" w:rsidRDefault="0037288A" w:rsidP="00C2086C">
      <w:pPr>
        <w:pStyle w:val="Textodenotaderodap"/>
        <w:jc w:val="both"/>
        <w:rPr>
          <w:rFonts w:ascii="Aptos" w:hAnsi="Aptos"/>
          <w:sz w:val="18"/>
          <w:szCs w:val="18"/>
        </w:rPr>
      </w:pPr>
      <w:r w:rsidRPr="00C2086C">
        <w:rPr>
          <w:rStyle w:val="Refdenotaderodap"/>
          <w:rFonts w:ascii="Aptos" w:hAnsi="Aptos"/>
          <w:sz w:val="18"/>
          <w:szCs w:val="18"/>
        </w:rPr>
        <w:footnoteRef/>
      </w:r>
      <w:r w:rsidRPr="00C2086C">
        <w:rPr>
          <w:rFonts w:ascii="Aptos" w:hAnsi="Aptos"/>
          <w:sz w:val="18"/>
          <w:szCs w:val="18"/>
        </w:rPr>
        <w:t xml:space="preserve">Blockchain is a distributed and decentralized data structure that organizes information into chronologically chained blocks using cryptographic hash functions , ensuring the immutability and integrity of records without the need for a central authority. Each block contains a set of validated transactions, the hash of the previous block, and a </w:t>
      </w:r>
      <w:r w:rsidRPr="00C2086C">
        <w:rPr>
          <w:rFonts w:ascii="Aptos" w:hAnsi="Aptos"/>
          <w:i/>
          <w:iCs/>
          <w:sz w:val="18"/>
          <w:szCs w:val="18"/>
        </w:rPr>
        <w:t xml:space="preserve">timestamp </w:t>
      </w:r>
      <w:r w:rsidRPr="00C2086C">
        <w:rPr>
          <w:rFonts w:ascii="Aptos" w:hAnsi="Aptos"/>
          <w:sz w:val="18"/>
          <w:szCs w:val="18"/>
        </w:rPr>
        <w:t>, forming an unbroken and auditable chain ( Tapscott &amp; Tapscott , 2016). The system's security is supported by distributed consensus mechanisms that make retroactive data alteration computationally unfeasible. In short, blockchain represents a fundamental innovation in digital trust management, with applications that transcend cryptocurrencies and reach areas such as smart contracts, healthcare, and supply chains (Swan, 2015).</w:t>
      </w:r>
    </w:p>
  </w:footnote>
  <w:footnote w:id="6">
    <w:p w14:paraId="1A2847B2" w14:textId="30B398A1" w:rsidR="00196BCC" w:rsidRPr="00C2086C" w:rsidRDefault="00196BCC" w:rsidP="00C2086C">
      <w:pPr>
        <w:pStyle w:val="Textodenotaderodap"/>
        <w:jc w:val="both"/>
        <w:rPr>
          <w:rFonts w:ascii="Aptos" w:hAnsi="Aptos"/>
          <w:sz w:val="18"/>
          <w:szCs w:val="18"/>
        </w:rPr>
      </w:pPr>
      <w:r w:rsidRPr="00C2086C">
        <w:rPr>
          <w:rStyle w:val="Refdenotaderodap"/>
          <w:rFonts w:ascii="Aptos" w:hAnsi="Aptos"/>
          <w:sz w:val="18"/>
          <w:szCs w:val="18"/>
        </w:rPr>
        <w:footnoteRef/>
      </w:r>
      <w:r w:rsidRPr="00C2086C">
        <w:rPr>
          <w:rFonts w:ascii="Aptos" w:hAnsi="Aptos"/>
          <w:sz w:val="18"/>
          <w:szCs w:val="18"/>
        </w:rPr>
        <w:t>A legacy system consists of information technology—software, hardware, or data infrastructure—developed in previous periods and maintained in operation even after its technical obsolescence, due to its participation in critical processes whose interruption would imply risks to the operational continuity of organizations. In public administration, the prevalence of these systems stems from the State's tendency to accumulate technological layers over decades without promoting complete replacements, resulting in heterogeneous environments in which recently developed applications must coexist with systems built in programming languages such as COBOL or in mainframe architectures from the 1970s and 1980s. The challenges associated with their management are multidimensional: on the technical level, the scarcity of professionals trained to maintain these technologies produces dependence on knowledge concentrated in employees nearing retirement, compromising institutional continuity; on the budgetary level, maintenance costs tend to grow progressively, redirecting resources that could be allocated to modernization processes; on the information security level, the absence of updates exposes these systems to vulnerabilities without mitigation mechanisms; And in terms of interoperability, incompatibility with later development platforms fragments the flow of data between agencies, compromising the integration of services and the State's ability to offer coordinated institutional responses to society.</w:t>
      </w:r>
    </w:p>
  </w:footnote>
  <w:footnote w:id="7">
    <w:p w14:paraId="0EAD40EE" w14:textId="5F07D384" w:rsidR="00F8715C" w:rsidRPr="00C2086C" w:rsidRDefault="00F8715C" w:rsidP="00C2086C">
      <w:pPr>
        <w:pStyle w:val="Textodenotaderodap"/>
        <w:jc w:val="both"/>
        <w:rPr>
          <w:rFonts w:ascii="Aptos" w:hAnsi="Aptos"/>
          <w:sz w:val="18"/>
          <w:szCs w:val="18"/>
        </w:rPr>
      </w:pPr>
      <w:r w:rsidRPr="00C2086C">
        <w:rPr>
          <w:rStyle w:val="Refdenotaderodap"/>
          <w:rFonts w:ascii="Aptos" w:hAnsi="Aptos"/>
          <w:sz w:val="18"/>
          <w:szCs w:val="18"/>
        </w:rPr>
        <w:footnoteRef/>
      </w:r>
      <w:r w:rsidRPr="00C2086C">
        <w:rPr>
          <w:rFonts w:ascii="Aptos" w:hAnsi="Aptos"/>
          <w:sz w:val="18"/>
          <w:szCs w:val="18"/>
        </w:rPr>
        <w:t xml:space="preserve">The application programming interface, designated by the acronym API (from the English </w:t>
      </w:r>
      <w:r w:rsidR="00C249B6" w:rsidRPr="00C2086C">
        <w:rPr>
          <w:rFonts w:ascii="Aptos" w:hAnsi="Aptos"/>
          <w:i/>
          <w:iCs/>
          <w:sz w:val="18"/>
          <w:szCs w:val="18"/>
        </w:rPr>
        <w:t xml:space="preserve">Application Programming Interface) . An API (Programming Interface </w:t>
      </w:r>
      <w:r w:rsidR="00C249B6" w:rsidRPr="00C2086C">
        <w:rPr>
          <w:rFonts w:ascii="Aptos" w:hAnsi="Aptos"/>
          <w:sz w:val="18"/>
          <w:szCs w:val="18"/>
        </w:rPr>
        <w:t>) is a set of protocols, definitions, and routines that establishes the conditions under which different software systems can communicate and exchange data in a structured way, without requiring direct access to the source code or internal logic of each application. From a technical point of view, an API functions as a mediation layer that exposes specific functionalities of a system to other systems, defining what can be requested, in what format, and under what authentication and authorization conditions. Its application extends across distinct domains—from the private sector to public administration—and it is recognized as a central instrument in the construction of service-oriented software architectures and, more recently, in microservices models, in which different components of a platform operate autonomously and integrate through standardized interfaces. In the governmental context, APIs assume particular relevance as a mechanism for interoperability between systems of different agencies, allowing the sharing of registration, financial, and administrative data without the need for duplication of databases or highly complex bilateral integrations. Contemporary digital transformation initiatives rely heavily on APIs as their primary implementation tool, as they enable public data and services to be made available in a modular, reusable, and accessible way to external developers, expanding the State's capacity to offer services through multiple channels in an integrated manner.</w:t>
      </w:r>
    </w:p>
  </w:footnote>
  <w:footnote w:id="8">
    <w:p w14:paraId="39174AC8" w14:textId="10D4FD79" w:rsidR="00146880" w:rsidRPr="00C2086C" w:rsidRDefault="00146880" w:rsidP="00C2086C">
      <w:pPr>
        <w:pStyle w:val="Textodenotaderodap"/>
        <w:jc w:val="both"/>
        <w:rPr>
          <w:rFonts w:ascii="Aptos" w:hAnsi="Aptos"/>
          <w:sz w:val="18"/>
          <w:szCs w:val="18"/>
        </w:rPr>
      </w:pPr>
      <w:r w:rsidRPr="00C2086C">
        <w:rPr>
          <w:rStyle w:val="Refdenotaderodap"/>
          <w:rFonts w:ascii="Aptos" w:hAnsi="Aptos"/>
          <w:sz w:val="18"/>
          <w:szCs w:val="18"/>
        </w:rPr>
        <w:footnoteRef/>
      </w:r>
      <w:r w:rsidRPr="00C2086C">
        <w:rPr>
          <w:rFonts w:ascii="Aptos" w:hAnsi="Aptos"/>
          <w:sz w:val="18"/>
          <w:szCs w:val="18"/>
        </w:rPr>
        <w:t xml:space="preserve">A data </w:t>
      </w:r>
      <w:r w:rsidR="00A65529" w:rsidRPr="00C2086C">
        <w:rPr>
          <w:rFonts w:ascii="Aptos" w:hAnsi="Aptos"/>
          <w:sz w:val="18"/>
          <w:szCs w:val="18"/>
        </w:rPr>
        <w:t xml:space="preserve">lake is a data storage architecture characterized by its ability to concentrate volumes of data in their raw and original format in a centralized repository, regardless of their structure, origin, or typology—therefore encompassing structured, semi-structured, and unstructured data. The data is transformed and organized using a schema </w:t>
      </w:r>
      <w:r w:rsidR="00A65529" w:rsidRPr="00C2086C">
        <w:rPr>
          <w:rFonts w:ascii="Aptos" w:hAnsi="Aptos"/>
          <w:i/>
          <w:iCs/>
          <w:sz w:val="18"/>
          <w:szCs w:val="18"/>
        </w:rPr>
        <w:t xml:space="preserve">-on- read approach </w:t>
      </w:r>
      <w:r w:rsidR="00A65529" w:rsidRPr="00C2086C">
        <w:rPr>
          <w:rFonts w:ascii="Aptos" w:hAnsi="Aptos"/>
          <w:sz w:val="18"/>
          <w:szCs w:val="18"/>
        </w:rPr>
        <w:t>, postponing the definition of the structure until the data is actually processed and analyzed. This characteristic gives the architecture the flexibility to accommodate heterogeneous data sources and support varied use cases, including exploratory analytics, machine learning, and real-time processing, making it relevant in organizational contexts where the volume, velocity, and variety of data preclude prior modeling approaches.</w:t>
      </w:r>
    </w:p>
  </w:footnote>
  <w:footnote w:id="9">
    <w:p w14:paraId="10E93371" w14:textId="331F37B5" w:rsidR="006F409B" w:rsidRPr="00C2086C" w:rsidRDefault="006F409B" w:rsidP="00C2086C">
      <w:pPr>
        <w:pStyle w:val="Textodenotaderodap"/>
        <w:jc w:val="both"/>
        <w:rPr>
          <w:rFonts w:ascii="Aptos" w:hAnsi="Aptos"/>
          <w:sz w:val="18"/>
          <w:szCs w:val="18"/>
        </w:rPr>
      </w:pPr>
      <w:r w:rsidRPr="00C2086C">
        <w:rPr>
          <w:rStyle w:val="Refdenotaderodap"/>
          <w:rFonts w:ascii="Aptos" w:hAnsi="Aptos"/>
          <w:sz w:val="18"/>
          <w:szCs w:val="18"/>
        </w:rPr>
        <w:footnoteRef/>
      </w:r>
      <w:r w:rsidRPr="00C2086C">
        <w:rPr>
          <w:rFonts w:ascii="Aptos" w:hAnsi="Aptos"/>
          <w:sz w:val="18"/>
          <w:szCs w:val="18"/>
        </w:rPr>
        <w:t xml:space="preserve">Public digital infrastructures function as a shared foundation upon which public and private services can be built and operated at scale. The concept encompasses interoperable data infrastructures, understood not as isolated solutions, but as infrastructure layers analogous to physical infrastructures—roads, power grids, sanitation systems—insofar as their availability conditions the functioning of a multitude of services and dependent actors. In contemporary literature, public digital infrastructures have been analyzed from the perspective of the State's role in providing non-excludable and potentially universal digital goods, highlighting their capacity to reduce transaction costs, expand access to services, and promote interoperability between governmental and private systems ( </w:t>
      </w:r>
      <w:r w:rsidR="00D81C70" w:rsidRPr="00C2086C">
        <w:rPr>
          <w:rFonts w:ascii="Aptos" w:hAnsi="Aptos"/>
          <w:sz w:val="18"/>
          <w:szCs w:val="18"/>
        </w:rPr>
        <w:t>Mazzucatto , Eaves , and Vasconcellos,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21E5"/>
    <w:multiLevelType w:val="hybridMultilevel"/>
    <w:tmpl w:val="F9F26638"/>
    <w:lvl w:ilvl="0" w:tplc="DC86AFF8">
      <w:start w:val="1"/>
      <w:numFmt w:val="bullet"/>
      <w:lvlText w:val=""/>
      <w:lvlJc w:val="left"/>
      <w:pPr>
        <w:ind w:left="1440" w:hanging="360"/>
      </w:pPr>
      <w:rPr>
        <w:rFonts w:ascii="Symbol" w:hAnsi="Symbol"/>
      </w:rPr>
    </w:lvl>
    <w:lvl w:ilvl="1" w:tplc="38626754">
      <w:start w:val="1"/>
      <w:numFmt w:val="bullet"/>
      <w:lvlText w:val=""/>
      <w:lvlJc w:val="left"/>
      <w:pPr>
        <w:ind w:left="1440" w:hanging="360"/>
      </w:pPr>
      <w:rPr>
        <w:rFonts w:ascii="Symbol" w:hAnsi="Symbol"/>
      </w:rPr>
    </w:lvl>
    <w:lvl w:ilvl="2" w:tplc="986CE6C2">
      <w:start w:val="1"/>
      <w:numFmt w:val="bullet"/>
      <w:lvlText w:val=""/>
      <w:lvlJc w:val="left"/>
      <w:pPr>
        <w:ind w:left="1440" w:hanging="360"/>
      </w:pPr>
      <w:rPr>
        <w:rFonts w:ascii="Symbol" w:hAnsi="Symbol"/>
      </w:rPr>
    </w:lvl>
    <w:lvl w:ilvl="3" w:tplc="1BDE7208">
      <w:start w:val="1"/>
      <w:numFmt w:val="bullet"/>
      <w:lvlText w:val=""/>
      <w:lvlJc w:val="left"/>
      <w:pPr>
        <w:ind w:left="1440" w:hanging="360"/>
      </w:pPr>
      <w:rPr>
        <w:rFonts w:ascii="Symbol" w:hAnsi="Symbol"/>
      </w:rPr>
    </w:lvl>
    <w:lvl w:ilvl="4" w:tplc="3AEAA92A">
      <w:start w:val="1"/>
      <w:numFmt w:val="bullet"/>
      <w:lvlText w:val=""/>
      <w:lvlJc w:val="left"/>
      <w:pPr>
        <w:ind w:left="1440" w:hanging="360"/>
      </w:pPr>
      <w:rPr>
        <w:rFonts w:ascii="Symbol" w:hAnsi="Symbol"/>
      </w:rPr>
    </w:lvl>
    <w:lvl w:ilvl="5" w:tplc="1C00A5C6">
      <w:start w:val="1"/>
      <w:numFmt w:val="bullet"/>
      <w:lvlText w:val=""/>
      <w:lvlJc w:val="left"/>
      <w:pPr>
        <w:ind w:left="1440" w:hanging="360"/>
      </w:pPr>
      <w:rPr>
        <w:rFonts w:ascii="Symbol" w:hAnsi="Symbol"/>
      </w:rPr>
    </w:lvl>
    <w:lvl w:ilvl="6" w:tplc="0F00B7DA">
      <w:start w:val="1"/>
      <w:numFmt w:val="bullet"/>
      <w:lvlText w:val=""/>
      <w:lvlJc w:val="left"/>
      <w:pPr>
        <w:ind w:left="1440" w:hanging="360"/>
      </w:pPr>
      <w:rPr>
        <w:rFonts w:ascii="Symbol" w:hAnsi="Symbol"/>
      </w:rPr>
    </w:lvl>
    <w:lvl w:ilvl="7" w:tplc="DC181F3A">
      <w:start w:val="1"/>
      <w:numFmt w:val="bullet"/>
      <w:lvlText w:val=""/>
      <w:lvlJc w:val="left"/>
      <w:pPr>
        <w:ind w:left="1440" w:hanging="360"/>
      </w:pPr>
      <w:rPr>
        <w:rFonts w:ascii="Symbol" w:hAnsi="Symbol"/>
      </w:rPr>
    </w:lvl>
    <w:lvl w:ilvl="8" w:tplc="48B0DF64">
      <w:start w:val="1"/>
      <w:numFmt w:val="bullet"/>
      <w:lvlText w:val=""/>
      <w:lvlJc w:val="left"/>
      <w:pPr>
        <w:ind w:left="1440" w:hanging="360"/>
      </w:pPr>
      <w:rPr>
        <w:rFonts w:ascii="Symbol" w:hAnsi="Symbol"/>
      </w:rPr>
    </w:lvl>
  </w:abstractNum>
  <w:abstractNum w:abstractNumId="1" w15:restartNumberingAfterBreak="0">
    <w:nsid w:val="28B60322"/>
    <w:multiLevelType w:val="hybridMultilevel"/>
    <w:tmpl w:val="92D44F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3B1D9F"/>
    <w:multiLevelType w:val="hybridMultilevel"/>
    <w:tmpl w:val="091006EE"/>
    <w:lvl w:ilvl="0" w:tplc="24F42102">
      <w:start w:val="1"/>
      <w:numFmt w:val="bullet"/>
      <w:lvlText w:val=""/>
      <w:lvlJc w:val="left"/>
      <w:pPr>
        <w:ind w:left="1440" w:hanging="360"/>
      </w:pPr>
      <w:rPr>
        <w:rFonts w:ascii="Symbol" w:hAnsi="Symbol"/>
      </w:rPr>
    </w:lvl>
    <w:lvl w:ilvl="1" w:tplc="A2B22E0A">
      <w:start w:val="1"/>
      <w:numFmt w:val="bullet"/>
      <w:lvlText w:val=""/>
      <w:lvlJc w:val="left"/>
      <w:pPr>
        <w:ind w:left="1440" w:hanging="360"/>
      </w:pPr>
      <w:rPr>
        <w:rFonts w:ascii="Symbol" w:hAnsi="Symbol"/>
      </w:rPr>
    </w:lvl>
    <w:lvl w:ilvl="2" w:tplc="AAD65594">
      <w:start w:val="1"/>
      <w:numFmt w:val="bullet"/>
      <w:lvlText w:val=""/>
      <w:lvlJc w:val="left"/>
      <w:pPr>
        <w:ind w:left="1440" w:hanging="360"/>
      </w:pPr>
      <w:rPr>
        <w:rFonts w:ascii="Symbol" w:hAnsi="Symbol"/>
      </w:rPr>
    </w:lvl>
    <w:lvl w:ilvl="3" w:tplc="78421E1A">
      <w:start w:val="1"/>
      <w:numFmt w:val="bullet"/>
      <w:lvlText w:val=""/>
      <w:lvlJc w:val="left"/>
      <w:pPr>
        <w:ind w:left="1440" w:hanging="360"/>
      </w:pPr>
      <w:rPr>
        <w:rFonts w:ascii="Symbol" w:hAnsi="Symbol"/>
      </w:rPr>
    </w:lvl>
    <w:lvl w:ilvl="4" w:tplc="4B3CC8A8">
      <w:start w:val="1"/>
      <w:numFmt w:val="bullet"/>
      <w:lvlText w:val=""/>
      <w:lvlJc w:val="left"/>
      <w:pPr>
        <w:ind w:left="1440" w:hanging="360"/>
      </w:pPr>
      <w:rPr>
        <w:rFonts w:ascii="Symbol" w:hAnsi="Symbol"/>
      </w:rPr>
    </w:lvl>
    <w:lvl w:ilvl="5" w:tplc="68CA6A40">
      <w:start w:val="1"/>
      <w:numFmt w:val="bullet"/>
      <w:lvlText w:val=""/>
      <w:lvlJc w:val="left"/>
      <w:pPr>
        <w:ind w:left="1440" w:hanging="360"/>
      </w:pPr>
      <w:rPr>
        <w:rFonts w:ascii="Symbol" w:hAnsi="Symbol"/>
      </w:rPr>
    </w:lvl>
    <w:lvl w:ilvl="6" w:tplc="B984732C">
      <w:start w:val="1"/>
      <w:numFmt w:val="bullet"/>
      <w:lvlText w:val=""/>
      <w:lvlJc w:val="left"/>
      <w:pPr>
        <w:ind w:left="1440" w:hanging="360"/>
      </w:pPr>
      <w:rPr>
        <w:rFonts w:ascii="Symbol" w:hAnsi="Symbol"/>
      </w:rPr>
    </w:lvl>
    <w:lvl w:ilvl="7" w:tplc="F49A3882">
      <w:start w:val="1"/>
      <w:numFmt w:val="bullet"/>
      <w:lvlText w:val=""/>
      <w:lvlJc w:val="left"/>
      <w:pPr>
        <w:ind w:left="1440" w:hanging="360"/>
      </w:pPr>
      <w:rPr>
        <w:rFonts w:ascii="Symbol" w:hAnsi="Symbol"/>
      </w:rPr>
    </w:lvl>
    <w:lvl w:ilvl="8" w:tplc="1FE4AEFE">
      <w:start w:val="1"/>
      <w:numFmt w:val="bullet"/>
      <w:lvlText w:val=""/>
      <w:lvlJc w:val="left"/>
      <w:pPr>
        <w:ind w:left="1440" w:hanging="360"/>
      </w:pPr>
      <w:rPr>
        <w:rFonts w:ascii="Symbol" w:hAnsi="Symbol"/>
      </w:rPr>
    </w:lvl>
  </w:abstractNum>
  <w:abstractNum w:abstractNumId="3" w15:restartNumberingAfterBreak="0">
    <w:nsid w:val="42A45914"/>
    <w:multiLevelType w:val="hybridMultilevel"/>
    <w:tmpl w:val="371A2806"/>
    <w:lvl w:ilvl="0" w:tplc="BB32E9E6">
      <w:start w:val="1"/>
      <w:numFmt w:val="decimal"/>
      <w:lvlText w:val="%1)"/>
      <w:lvlJc w:val="left"/>
      <w:pPr>
        <w:ind w:left="1020" w:hanging="360"/>
      </w:pPr>
    </w:lvl>
    <w:lvl w:ilvl="1" w:tplc="D380878C">
      <w:start w:val="1"/>
      <w:numFmt w:val="decimal"/>
      <w:lvlText w:val="%2)"/>
      <w:lvlJc w:val="left"/>
      <w:pPr>
        <w:ind w:left="1020" w:hanging="360"/>
      </w:pPr>
    </w:lvl>
    <w:lvl w:ilvl="2" w:tplc="ABF8ECB2">
      <w:start w:val="1"/>
      <w:numFmt w:val="decimal"/>
      <w:lvlText w:val="%3)"/>
      <w:lvlJc w:val="left"/>
      <w:pPr>
        <w:ind w:left="1020" w:hanging="360"/>
      </w:pPr>
    </w:lvl>
    <w:lvl w:ilvl="3" w:tplc="0C72D52C">
      <w:start w:val="1"/>
      <w:numFmt w:val="decimal"/>
      <w:lvlText w:val="%4)"/>
      <w:lvlJc w:val="left"/>
      <w:pPr>
        <w:ind w:left="1020" w:hanging="360"/>
      </w:pPr>
    </w:lvl>
    <w:lvl w:ilvl="4" w:tplc="78F83084">
      <w:start w:val="1"/>
      <w:numFmt w:val="decimal"/>
      <w:lvlText w:val="%5)"/>
      <w:lvlJc w:val="left"/>
      <w:pPr>
        <w:ind w:left="1020" w:hanging="360"/>
      </w:pPr>
    </w:lvl>
    <w:lvl w:ilvl="5" w:tplc="A64C2C8E">
      <w:start w:val="1"/>
      <w:numFmt w:val="decimal"/>
      <w:lvlText w:val="%6)"/>
      <w:lvlJc w:val="left"/>
      <w:pPr>
        <w:ind w:left="1020" w:hanging="360"/>
      </w:pPr>
    </w:lvl>
    <w:lvl w:ilvl="6" w:tplc="9FF4EC08">
      <w:start w:val="1"/>
      <w:numFmt w:val="decimal"/>
      <w:lvlText w:val="%7)"/>
      <w:lvlJc w:val="left"/>
      <w:pPr>
        <w:ind w:left="1020" w:hanging="360"/>
      </w:pPr>
    </w:lvl>
    <w:lvl w:ilvl="7" w:tplc="79867698">
      <w:start w:val="1"/>
      <w:numFmt w:val="decimal"/>
      <w:lvlText w:val="%8)"/>
      <w:lvlJc w:val="left"/>
      <w:pPr>
        <w:ind w:left="1020" w:hanging="360"/>
      </w:pPr>
    </w:lvl>
    <w:lvl w:ilvl="8" w:tplc="233C30DC">
      <w:start w:val="1"/>
      <w:numFmt w:val="decimal"/>
      <w:lvlText w:val="%9)"/>
      <w:lvlJc w:val="left"/>
      <w:pPr>
        <w:ind w:left="1020" w:hanging="360"/>
      </w:pPr>
    </w:lvl>
  </w:abstractNum>
  <w:abstractNum w:abstractNumId="4" w15:restartNumberingAfterBreak="0">
    <w:nsid w:val="439D2E7E"/>
    <w:multiLevelType w:val="multilevel"/>
    <w:tmpl w:val="972C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144819">
    <w:abstractNumId w:val="1"/>
  </w:num>
  <w:num w:numId="2" w16cid:durableId="1070351729">
    <w:abstractNumId w:val="4"/>
  </w:num>
  <w:num w:numId="3" w16cid:durableId="1568296911">
    <w:abstractNumId w:val="3"/>
  </w:num>
  <w:num w:numId="4" w16cid:durableId="1487012286">
    <w:abstractNumId w:val="2"/>
  </w:num>
  <w:num w:numId="5" w16cid:durableId="1493764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55"/>
    <w:rsid w:val="0000023F"/>
    <w:rsid w:val="0000064D"/>
    <w:rsid w:val="00002A76"/>
    <w:rsid w:val="000038FF"/>
    <w:rsid w:val="00003FC9"/>
    <w:rsid w:val="000041E4"/>
    <w:rsid w:val="000042C0"/>
    <w:rsid w:val="0000761E"/>
    <w:rsid w:val="00007CB7"/>
    <w:rsid w:val="00012446"/>
    <w:rsid w:val="00015E03"/>
    <w:rsid w:val="00020B21"/>
    <w:rsid w:val="000219E5"/>
    <w:rsid w:val="00026751"/>
    <w:rsid w:val="0002707A"/>
    <w:rsid w:val="00030917"/>
    <w:rsid w:val="00030AA3"/>
    <w:rsid w:val="00032EC1"/>
    <w:rsid w:val="000342B1"/>
    <w:rsid w:val="00035E9B"/>
    <w:rsid w:val="00035F01"/>
    <w:rsid w:val="00040065"/>
    <w:rsid w:val="00040EA4"/>
    <w:rsid w:val="00041EA0"/>
    <w:rsid w:val="00043DBD"/>
    <w:rsid w:val="00044728"/>
    <w:rsid w:val="000458F5"/>
    <w:rsid w:val="00046B13"/>
    <w:rsid w:val="000471BF"/>
    <w:rsid w:val="00047A3C"/>
    <w:rsid w:val="000503C0"/>
    <w:rsid w:val="000529AD"/>
    <w:rsid w:val="00054D66"/>
    <w:rsid w:val="00061AF1"/>
    <w:rsid w:val="00062940"/>
    <w:rsid w:val="000638FD"/>
    <w:rsid w:val="00065760"/>
    <w:rsid w:val="000701A9"/>
    <w:rsid w:val="00071BDA"/>
    <w:rsid w:val="000745CA"/>
    <w:rsid w:val="000761E4"/>
    <w:rsid w:val="00081B79"/>
    <w:rsid w:val="00087A06"/>
    <w:rsid w:val="000922F7"/>
    <w:rsid w:val="000957BD"/>
    <w:rsid w:val="000A5ACC"/>
    <w:rsid w:val="000A74A4"/>
    <w:rsid w:val="000B1218"/>
    <w:rsid w:val="000B66F5"/>
    <w:rsid w:val="000B6EA2"/>
    <w:rsid w:val="000C2A7C"/>
    <w:rsid w:val="000C76B5"/>
    <w:rsid w:val="000C7C90"/>
    <w:rsid w:val="000C7CCC"/>
    <w:rsid w:val="000E04B6"/>
    <w:rsid w:val="000E47EE"/>
    <w:rsid w:val="000E59F9"/>
    <w:rsid w:val="000E6D15"/>
    <w:rsid w:val="000E787E"/>
    <w:rsid w:val="000F27B0"/>
    <w:rsid w:val="000F6B0F"/>
    <w:rsid w:val="00100E0A"/>
    <w:rsid w:val="00100FE9"/>
    <w:rsid w:val="00103668"/>
    <w:rsid w:val="00103B46"/>
    <w:rsid w:val="00105B0C"/>
    <w:rsid w:val="00106E12"/>
    <w:rsid w:val="00107201"/>
    <w:rsid w:val="00107D37"/>
    <w:rsid w:val="00110060"/>
    <w:rsid w:val="00111FBF"/>
    <w:rsid w:val="001123C7"/>
    <w:rsid w:val="0011243B"/>
    <w:rsid w:val="001153A4"/>
    <w:rsid w:val="001204D5"/>
    <w:rsid w:val="00121E4B"/>
    <w:rsid w:val="0012203D"/>
    <w:rsid w:val="001238A4"/>
    <w:rsid w:val="0012484F"/>
    <w:rsid w:val="00124AE8"/>
    <w:rsid w:val="00125FF2"/>
    <w:rsid w:val="0012726E"/>
    <w:rsid w:val="00131978"/>
    <w:rsid w:val="00133BA5"/>
    <w:rsid w:val="001412E5"/>
    <w:rsid w:val="0014268F"/>
    <w:rsid w:val="00146880"/>
    <w:rsid w:val="00147EB8"/>
    <w:rsid w:val="00150EB1"/>
    <w:rsid w:val="001544DB"/>
    <w:rsid w:val="001573A5"/>
    <w:rsid w:val="001607A1"/>
    <w:rsid w:val="00167013"/>
    <w:rsid w:val="00170DE4"/>
    <w:rsid w:val="00173FB7"/>
    <w:rsid w:val="00174DF4"/>
    <w:rsid w:val="001761D9"/>
    <w:rsid w:val="001804BB"/>
    <w:rsid w:val="001831F9"/>
    <w:rsid w:val="00184093"/>
    <w:rsid w:val="001857E5"/>
    <w:rsid w:val="0019090D"/>
    <w:rsid w:val="00194E42"/>
    <w:rsid w:val="00194F56"/>
    <w:rsid w:val="00195BD5"/>
    <w:rsid w:val="00196BCC"/>
    <w:rsid w:val="001A53F3"/>
    <w:rsid w:val="001A5696"/>
    <w:rsid w:val="001B0E70"/>
    <w:rsid w:val="001B2DB8"/>
    <w:rsid w:val="001B321B"/>
    <w:rsid w:val="001B3A72"/>
    <w:rsid w:val="001B616D"/>
    <w:rsid w:val="001B787C"/>
    <w:rsid w:val="001C3050"/>
    <w:rsid w:val="001C4584"/>
    <w:rsid w:val="001C7C44"/>
    <w:rsid w:val="001D0876"/>
    <w:rsid w:val="001D3D35"/>
    <w:rsid w:val="001D62F5"/>
    <w:rsid w:val="001D6A0A"/>
    <w:rsid w:val="001E3712"/>
    <w:rsid w:val="001E3F4F"/>
    <w:rsid w:val="001E65A2"/>
    <w:rsid w:val="001E6C8A"/>
    <w:rsid w:val="001F25A7"/>
    <w:rsid w:val="001F5403"/>
    <w:rsid w:val="001F592E"/>
    <w:rsid w:val="001F61D7"/>
    <w:rsid w:val="001F6B25"/>
    <w:rsid w:val="0020151D"/>
    <w:rsid w:val="00201C52"/>
    <w:rsid w:val="002039DD"/>
    <w:rsid w:val="00203EB6"/>
    <w:rsid w:val="00203FFA"/>
    <w:rsid w:val="00204CD0"/>
    <w:rsid w:val="0020542B"/>
    <w:rsid w:val="002055F5"/>
    <w:rsid w:val="002125A9"/>
    <w:rsid w:val="00216A8B"/>
    <w:rsid w:val="00220641"/>
    <w:rsid w:val="0022590C"/>
    <w:rsid w:val="00231818"/>
    <w:rsid w:val="00232120"/>
    <w:rsid w:val="002322B4"/>
    <w:rsid w:val="0023414D"/>
    <w:rsid w:val="002351AA"/>
    <w:rsid w:val="00235CD4"/>
    <w:rsid w:val="0023630C"/>
    <w:rsid w:val="0024106E"/>
    <w:rsid w:val="0024210A"/>
    <w:rsid w:val="002468CA"/>
    <w:rsid w:val="0025252A"/>
    <w:rsid w:val="002543DF"/>
    <w:rsid w:val="002604B7"/>
    <w:rsid w:val="00260972"/>
    <w:rsid w:val="00261213"/>
    <w:rsid w:val="00270A60"/>
    <w:rsid w:val="0027136E"/>
    <w:rsid w:val="00276000"/>
    <w:rsid w:val="0027773B"/>
    <w:rsid w:val="00280291"/>
    <w:rsid w:val="00281283"/>
    <w:rsid w:val="00285B2C"/>
    <w:rsid w:val="00287207"/>
    <w:rsid w:val="00296A60"/>
    <w:rsid w:val="002A223C"/>
    <w:rsid w:val="002A2D5D"/>
    <w:rsid w:val="002A374E"/>
    <w:rsid w:val="002A3847"/>
    <w:rsid w:val="002A5717"/>
    <w:rsid w:val="002A6DC3"/>
    <w:rsid w:val="002A7E24"/>
    <w:rsid w:val="002B0316"/>
    <w:rsid w:val="002B08C7"/>
    <w:rsid w:val="002B18A5"/>
    <w:rsid w:val="002B2FBD"/>
    <w:rsid w:val="002B4F12"/>
    <w:rsid w:val="002B4F73"/>
    <w:rsid w:val="002B5233"/>
    <w:rsid w:val="002B62DE"/>
    <w:rsid w:val="002C17A7"/>
    <w:rsid w:val="002C6B5B"/>
    <w:rsid w:val="002D0914"/>
    <w:rsid w:val="002D254F"/>
    <w:rsid w:val="002D6DE5"/>
    <w:rsid w:val="002D78D7"/>
    <w:rsid w:val="002E088A"/>
    <w:rsid w:val="002E32D5"/>
    <w:rsid w:val="002F7789"/>
    <w:rsid w:val="0030153C"/>
    <w:rsid w:val="0030206A"/>
    <w:rsid w:val="003039F9"/>
    <w:rsid w:val="00306437"/>
    <w:rsid w:val="00306B49"/>
    <w:rsid w:val="003131CB"/>
    <w:rsid w:val="003159F4"/>
    <w:rsid w:val="003216C2"/>
    <w:rsid w:val="00322E73"/>
    <w:rsid w:val="00332088"/>
    <w:rsid w:val="00332A00"/>
    <w:rsid w:val="00335817"/>
    <w:rsid w:val="00341B88"/>
    <w:rsid w:val="003443C4"/>
    <w:rsid w:val="00344D1A"/>
    <w:rsid w:val="00345FAA"/>
    <w:rsid w:val="0035114F"/>
    <w:rsid w:val="003511B2"/>
    <w:rsid w:val="00356746"/>
    <w:rsid w:val="00361B4F"/>
    <w:rsid w:val="00365D09"/>
    <w:rsid w:val="0037288A"/>
    <w:rsid w:val="00372AD7"/>
    <w:rsid w:val="00373092"/>
    <w:rsid w:val="0037518D"/>
    <w:rsid w:val="00377204"/>
    <w:rsid w:val="003772D0"/>
    <w:rsid w:val="00377D5D"/>
    <w:rsid w:val="003904AB"/>
    <w:rsid w:val="00390753"/>
    <w:rsid w:val="00392354"/>
    <w:rsid w:val="00393BDE"/>
    <w:rsid w:val="003948B8"/>
    <w:rsid w:val="00394E69"/>
    <w:rsid w:val="003965C1"/>
    <w:rsid w:val="003A1A94"/>
    <w:rsid w:val="003A25A9"/>
    <w:rsid w:val="003A3E77"/>
    <w:rsid w:val="003A431F"/>
    <w:rsid w:val="003A72B4"/>
    <w:rsid w:val="003B3809"/>
    <w:rsid w:val="003B4F5E"/>
    <w:rsid w:val="003B60A3"/>
    <w:rsid w:val="003C4C4F"/>
    <w:rsid w:val="003C60FD"/>
    <w:rsid w:val="003D1C18"/>
    <w:rsid w:val="003D35CB"/>
    <w:rsid w:val="003D4F85"/>
    <w:rsid w:val="003D5DC3"/>
    <w:rsid w:val="003D6556"/>
    <w:rsid w:val="003E06BE"/>
    <w:rsid w:val="003E44FB"/>
    <w:rsid w:val="003E51C5"/>
    <w:rsid w:val="003E55E7"/>
    <w:rsid w:val="003E6EA9"/>
    <w:rsid w:val="003F28CF"/>
    <w:rsid w:val="003F2F57"/>
    <w:rsid w:val="00400465"/>
    <w:rsid w:val="0040125F"/>
    <w:rsid w:val="00401A72"/>
    <w:rsid w:val="00401B42"/>
    <w:rsid w:val="0040284E"/>
    <w:rsid w:val="004045B2"/>
    <w:rsid w:val="00406221"/>
    <w:rsid w:val="00410337"/>
    <w:rsid w:val="00412714"/>
    <w:rsid w:val="004162BF"/>
    <w:rsid w:val="00417E5A"/>
    <w:rsid w:val="00424F39"/>
    <w:rsid w:val="0042581D"/>
    <w:rsid w:val="0042675A"/>
    <w:rsid w:val="004313C6"/>
    <w:rsid w:val="004317A3"/>
    <w:rsid w:val="00431F89"/>
    <w:rsid w:val="00432A46"/>
    <w:rsid w:val="00433C92"/>
    <w:rsid w:val="004367A5"/>
    <w:rsid w:val="00441130"/>
    <w:rsid w:val="004418CC"/>
    <w:rsid w:val="00441A36"/>
    <w:rsid w:val="004423BA"/>
    <w:rsid w:val="0044284A"/>
    <w:rsid w:val="00445558"/>
    <w:rsid w:val="00451998"/>
    <w:rsid w:val="00454342"/>
    <w:rsid w:val="00461C6A"/>
    <w:rsid w:val="00462983"/>
    <w:rsid w:val="004672AE"/>
    <w:rsid w:val="00471BA3"/>
    <w:rsid w:val="00471C92"/>
    <w:rsid w:val="004720A0"/>
    <w:rsid w:val="004771E5"/>
    <w:rsid w:val="004808C2"/>
    <w:rsid w:val="004823F5"/>
    <w:rsid w:val="00482E6C"/>
    <w:rsid w:val="0048477C"/>
    <w:rsid w:val="00485C21"/>
    <w:rsid w:val="00487BAB"/>
    <w:rsid w:val="00493D02"/>
    <w:rsid w:val="00493D77"/>
    <w:rsid w:val="00494D51"/>
    <w:rsid w:val="004A0119"/>
    <w:rsid w:val="004A014F"/>
    <w:rsid w:val="004A3208"/>
    <w:rsid w:val="004A4869"/>
    <w:rsid w:val="004A549E"/>
    <w:rsid w:val="004A72FD"/>
    <w:rsid w:val="004B094A"/>
    <w:rsid w:val="004B0D29"/>
    <w:rsid w:val="004B1170"/>
    <w:rsid w:val="004B1262"/>
    <w:rsid w:val="004B249F"/>
    <w:rsid w:val="004B3E62"/>
    <w:rsid w:val="004B589B"/>
    <w:rsid w:val="004B71D5"/>
    <w:rsid w:val="004C0633"/>
    <w:rsid w:val="004C34E4"/>
    <w:rsid w:val="004D0E4F"/>
    <w:rsid w:val="004D5DE7"/>
    <w:rsid w:val="004E038D"/>
    <w:rsid w:val="004E153D"/>
    <w:rsid w:val="004E34E2"/>
    <w:rsid w:val="004E3859"/>
    <w:rsid w:val="004E5807"/>
    <w:rsid w:val="004E5818"/>
    <w:rsid w:val="004F3621"/>
    <w:rsid w:val="004F4FF6"/>
    <w:rsid w:val="004F52A4"/>
    <w:rsid w:val="0050505C"/>
    <w:rsid w:val="00507447"/>
    <w:rsid w:val="00510ACF"/>
    <w:rsid w:val="005153DD"/>
    <w:rsid w:val="00517F8F"/>
    <w:rsid w:val="0052191C"/>
    <w:rsid w:val="0052242C"/>
    <w:rsid w:val="00524CDB"/>
    <w:rsid w:val="00531CFE"/>
    <w:rsid w:val="005335C6"/>
    <w:rsid w:val="00533E6D"/>
    <w:rsid w:val="0053417F"/>
    <w:rsid w:val="00535CAC"/>
    <w:rsid w:val="0053619C"/>
    <w:rsid w:val="005444BA"/>
    <w:rsid w:val="005456B3"/>
    <w:rsid w:val="00545B9D"/>
    <w:rsid w:val="0055244D"/>
    <w:rsid w:val="0055377D"/>
    <w:rsid w:val="00554C4A"/>
    <w:rsid w:val="00554DDF"/>
    <w:rsid w:val="005575C4"/>
    <w:rsid w:val="00562CEF"/>
    <w:rsid w:val="005635B2"/>
    <w:rsid w:val="005668BE"/>
    <w:rsid w:val="005674B0"/>
    <w:rsid w:val="0057141E"/>
    <w:rsid w:val="00574BFF"/>
    <w:rsid w:val="00577284"/>
    <w:rsid w:val="00577C0D"/>
    <w:rsid w:val="005805FF"/>
    <w:rsid w:val="005807D6"/>
    <w:rsid w:val="005815AE"/>
    <w:rsid w:val="005869ED"/>
    <w:rsid w:val="0058743D"/>
    <w:rsid w:val="0058785B"/>
    <w:rsid w:val="005935E7"/>
    <w:rsid w:val="005A04A0"/>
    <w:rsid w:val="005A42CF"/>
    <w:rsid w:val="005A5163"/>
    <w:rsid w:val="005A543F"/>
    <w:rsid w:val="005A6638"/>
    <w:rsid w:val="005A7461"/>
    <w:rsid w:val="005B639D"/>
    <w:rsid w:val="005C000E"/>
    <w:rsid w:val="005C072C"/>
    <w:rsid w:val="005C2591"/>
    <w:rsid w:val="005C2912"/>
    <w:rsid w:val="005C772B"/>
    <w:rsid w:val="005D18F8"/>
    <w:rsid w:val="005D2B9B"/>
    <w:rsid w:val="005D3C16"/>
    <w:rsid w:val="005D3F1D"/>
    <w:rsid w:val="005D6648"/>
    <w:rsid w:val="005E1FBF"/>
    <w:rsid w:val="005E7B95"/>
    <w:rsid w:val="005F0970"/>
    <w:rsid w:val="005F0BF4"/>
    <w:rsid w:val="005F2155"/>
    <w:rsid w:val="005F4F47"/>
    <w:rsid w:val="005F605D"/>
    <w:rsid w:val="005F78DA"/>
    <w:rsid w:val="0060324B"/>
    <w:rsid w:val="00604E4B"/>
    <w:rsid w:val="00606BBD"/>
    <w:rsid w:val="0061341F"/>
    <w:rsid w:val="00617745"/>
    <w:rsid w:val="006178E5"/>
    <w:rsid w:val="00617AB0"/>
    <w:rsid w:val="0062075D"/>
    <w:rsid w:val="00620AEF"/>
    <w:rsid w:val="0062176B"/>
    <w:rsid w:val="00621B79"/>
    <w:rsid w:val="00624030"/>
    <w:rsid w:val="00625A13"/>
    <w:rsid w:val="006266A3"/>
    <w:rsid w:val="00626CC5"/>
    <w:rsid w:val="0063374C"/>
    <w:rsid w:val="00633E9E"/>
    <w:rsid w:val="006341B9"/>
    <w:rsid w:val="00635E55"/>
    <w:rsid w:val="00636BD5"/>
    <w:rsid w:val="00636F4A"/>
    <w:rsid w:val="00641E37"/>
    <w:rsid w:val="00644243"/>
    <w:rsid w:val="00644C32"/>
    <w:rsid w:val="00647826"/>
    <w:rsid w:val="00651B80"/>
    <w:rsid w:val="00652885"/>
    <w:rsid w:val="0065360A"/>
    <w:rsid w:val="00653DA5"/>
    <w:rsid w:val="00661437"/>
    <w:rsid w:val="00662938"/>
    <w:rsid w:val="0066519C"/>
    <w:rsid w:val="00665215"/>
    <w:rsid w:val="006666A0"/>
    <w:rsid w:val="00667FCF"/>
    <w:rsid w:val="00671AF9"/>
    <w:rsid w:val="006728F6"/>
    <w:rsid w:val="00672A20"/>
    <w:rsid w:val="00672D1B"/>
    <w:rsid w:val="00673F19"/>
    <w:rsid w:val="0067557B"/>
    <w:rsid w:val="00676FF7"/>
    <w:rsid w:val="006802A7"/>
    <w:rsid w:val="00681999"/>
    <w:rsid w:val="00684BB9"/>
    <w:rsid w:val="00685CB7"/>
    <w:rsid w:val="0068690B"/>
    <w:rsid w:val="00693CD8"/>
    <w:rsid w:val="00694FF1"/>
    <w:rsid w:val="00695A5F"/>
    <w:rsid w:val="006A40E9"/>
    <w:rsid w:val="006A5807"/>
    <w:rsid w:val="006A590E"/>
    <w:rsid w:val="006A5C7D"/>
    <w:rsid w:val="006B12BC"/>
    <w:rsid w:val="006B1CCD"/>
    <w:rsid w:val="006B22A4"/>
    <w:rsid w:val="006B2CFF"/>
    <w:rsid w:val="006B450E"/>
    <w:rsid w:val="006B781B"/>
    <w:rsid w:val="006C15F0"/>
    <w:rsid w:val="006C49BF"/>
    <w:rsid w:val="006C5AC5"/>
    <w:rsid w:val="006D13C0"/>
    <w:rsid w:val="006D16DE"/>
    <w:rsid w:val="006D2A7B"/>
    <w:rsid w:val="006D3A38"/>
    <w:rsid w:val="006D3B34"/>
    <w:rsid w:val="006D4595"/>
    <w:rsid w:val="006D6290"/>
    <w:rsid w:val="006D7DF7"/>
    <w:rsid w:val="006E0A04"/>
    <w:rsid w:val="006E2919"/>
    <w:rsid w:val="006E7A9E"/>
    <w:rsid w:val="006F044E"/>
    <w:rsid w:val="006F066C"/>
    <w:rsid w:val="006F409B"/>
    <w:rsid w:val="006F4A6A"/>
    <w:rsid w:val="006F6571"/>
    <w:rsid w:val="006F7769"/>
    <w:rsid w:val="00700703"/>
    <w:rsid w:val="0070738F"/>
    <w:rsid w:val="007104DB"/>
    <w:rsid w:val="00720926"/>
    <w:rsid w:val="00724A11"/>
    <w:rsid w:val="007254DD"/>
    <w:rsid w:val="007308B2"/>
    <w:rsid w:val="007311CE"/>
    <w:rsid w:val="00731AA0"/>
    <w:rsid w:val="007324BF"/>
    <w:rsid w:val="00732EF9"/>
    <w:rsid w:val="00734459"/>
    <w:rsid w:val="00736E6E"/>
    <w:rsid w:val="0073736C"/>
    <w:rsid w:val="00740F1F"/>
    <w:rsid w:val="00741ADB"/>
    <w:rsid w:val="00743D25"/>
    <w:rsid w:val="00744DE1"/>
    <w:rsid w:val="00750AB6"/>
    <w:rsid w:val="00752308"/>
    <w:rsid w:val="00755871"/>
    <w:rsid w:val="00757D72"/>
    <w:rsid w:val="007601E8"/>
    <w:rsid w:val="00760AEB"/>
    <w:rsid w:val="007654A1"/>
    <w:rsid w:val="007727FD"/>
    <w:rsid w:val="00776BC3"/>
    <w:rsid w:val="00777A63"/>
    <w:rsid w:val="00784D0F"/>
    <w:rsid w:val="00795B8D"/>
    <w:rsid w:val="00796507"/>
    <w:rsid w:val="00797D39"/>
    <w:rsid w:val="00797E04"/>
    <w:rsid w:val="007A00F9"/>
    <w:rsid w:val="007A05BF"/>
    <w:rsid w:val="007A1734"/>
    <w:rsid w:val="007A34D0"/>
    <w:rsid w:val="007A3B31"/>
    <w:rsid w:val="007A54F5"/>
    <w:rsid w:val="007B0E4B"/>
    <w:rsid w:val="007B1CA4"/>
    <w:rsid w:val="007B1D22"/>
    <w:rsid w:val="007B204A"/>
    <w:rsid w:val="007B24B2"/>
    <w:rsid w:val="007B2A5A"/>
    <w:rsid w:val="007B3E7D"/>
    <w:rsid w:val="007B423B"/>
    <w:rsid w:val="007C085A"/>
    <w:rsid w:val="007C1817"/>
    <w:rsid w:val="007C19E9"/>
    <w:rsid w:val="007C6F4C"/>
    <w:rsid w:val="007D0171"/>
    <w:rsid w:val="007D255F"/>
    <w:rsid w:val="007D29C1"/>
    <w:rsid w:val="007D3CB5"/>
    <w:rsid w:val="007D5615"/>
    <w:rsid w:val="007D6B84"/>
    <w:rsid w:val="007D7055"/>
    <w:rsid w:val="007E1B32"/>
    <w:rsid w:val="007F5A43"/>
    <w:rsid w:val="007F5CE0"/>
    <w:rsid w:val="00800C29"/>
    <w:rsid w:val="00802DE9"/>
    <w:rsid w:val="0080320A"/>
    <w:rsid w:val="00803C3A"/>
    <w:rsid w:val="008042C5"/>
    <w:rsid w:val="00807660"/>
    <w:rsid w:val="0081054F"/>
    <w:rsid w:val="00812E5E"/>
    <w:rsid w:val="008178C2"/>
    <w:rsid w:val="008213D5"/>
    <w:rsid w:val="00821AAC"/>
    <w:rsid w:val="00823288"/>
    <w:rsid w:val="00824313"/>
    <w:rsid w:val="00825C6E"/>
    <w:rsid w:val="00826318"/>
    <w:rsid w:val="008328AC"/>
    <w:rsid w:val="008342D1"/>
    <w:rsid w:val="0083549C"/>
    <w:rsid w:val="00837FDD"/>
    <w:rsid w:val="0084171F"/>
    <w:rsid w:val="008417C8"/>
    <w:rsid w:val="0084331B"/>
    <w:rsid w:val="008444CB"/>
    <w:rsid w:val="00854424"/>
    <w:rsid w:val="00855DDA"/>
    <w:rsid w:val="00856D2D"/>
    <w:rsid w:val="008630B3"/>
    <w:rsid w:val="0086312D"/>
    <w:rsid w:val="00863D1A"/>
    <w:rsid w:val="0087015F"/>
    <w:rsid w:val="0087050E"/>
    <w:rsid w:val="00871776"/>
    <w:rsid w:val="00871B36"/>
    <w:rsid w:val="0087507F"/>
    <w:rsid w:val="00875413"/>
    <w:rsid w:val="008803B3"/>
    <w:rsid w:val="00885A72"/>
    <w:rsid w:val="00887206"/>
    <w:rsid w:val="00891228"/>
    <w:rsid w:val="00891DB0"/>
    <w:rsid w:val="008935C2"/>
    <w:rsid w:val="008A0D70"/>
    <w:rsid w:val="008A2215"/>
    <w:rsid w:val="008A31D0"/>
    <w:rsid w:val="008A5797"/>
    <w:rsid w:val="008B1A0C"/>
    <w:rsid w:val="008B4C6D"/>
    <w:rsid w:val="008B5381"/>
    <w:rsid w:val="008B5667"/>
    <w:rsid w:val="008B5748"/>
    <w:rsid w:val="008B723B"/>
    <w:rsid w:val="008C3C8E"/>
    <w:rsid w:val="008C6366"/>
    <w:rsid w:val="008C72C4"/>
    <w:rsid w:val="008D06E9"/>
    <w:rsid w:val="008D5DF1"/>
    <w:rsid w:val="008D702F"/>
    <w:rsid w:val="008D7B0C"/>
    <w:rsid w:val="008E14E9"/>
    <w:rsid w:val="008E317A"/>
    <w:rsid w:val="008E4026"/>
    <w:rsid w:val="008E5808"/>
    <w:rsid w:val="008E669C"/>
    <w:rsid w:val="008E6E0A"/>
    <w:rsid w:val="008E7141"/>
    <w:rsid w:val="008F173D"/>
    <w:rsid w:val="0090013D"/>
    <w:rsid w:val="0090472F"/>
    <w:rsid w:val="0090511F"/>
    <w:rsid w:val="0090684D"/>
    <w:rsid w:val="009068BC"/>
    <w:rsid w:val="0090754D"/>
    <w:rsid w:val="009107E2"/>
    <w:rsid w:val="0091187D"/>
    <w:rsid w:val="009124CD"/>
    <w:rsid w:val="009144C4"/>
    <w:rsid w:val="0091717B"/>
    <w:rsid w:val="00917A8F"/>
    <w:rsid w:val="0092299F"/>
    <w:rsid w:val="009238CD"/>
    <w:rsid w:val="00923E7E"/>
    <w:rsid w:val="00926B03"/>
    <w:rsid w:val="00927F4A"/>
    <w:rsid w:val="00931262"/>
    <w:rsid w:val="00936057"/>
    <w:rsid w:val="00936720"/>
    <w:rsid w:val="00940DB6"/>
    <w:rsid w:val="00942AE6"/>
    <w:rsid w:val="00943DB6"/>
    <w:rsid w:val="00944E76"/>
    <w:rsid w:val="00950D44"/>
    <w:rsid w:val="00951997"/>
    <w:rsid w:val="00953409"/>
    <w:rsid w:val="009544BA"/>
    <w:rsid w:val="0095595E"/>
    <w:rsid w:val="00967763"/>
    <w:rsid w:val="009705FB"/>
    <w:rsid w:val="009708A1"/>
    <w:rsid w:val="00973204"/>
    <w:rsid w:val="009816D6"/>
    <w:rsid w:val="00984209"/>
    <w:rsid w:val="00985A85"/>
    <w:rsid w:val="00987634"/>
    <w:rsid w:val="009909DD"/>
    <w:rsid w:val="00990C40"/>
    <w:rsid w:val="009925B9"/>
    <w:rsid w:val="0099286A"/>
    <w:rsid w:val="009972C9"/>
    <w:rsid w:val="009A0242"/>
    <w:rsid w:val="009A329B"/>
    <w:rsid w:val="009A42F3"/>
    <w:rsid w:val="009A4EC3"/>
    <w:rsid w:val="009A6432"/>
    <w:rsid w:val="009A6BB0"/>
    <w:rsid w:val="009A6BE7"/>
    <w:rsid w:val="009A793E"/>
    <w:rsid w:val="009B0E05"/>
    <w:rsid w:val="009B495F"/>
    <w:rsid w:val="009B4C04"/>
    <w:rsid w:val="009B6EDD"/>
    <w:rsid w:val="009C53EB"/>
    <w:rsid w:val="009C7808"/>
    <w:rsid w:val="009D142E"/>
    <w:rsid w:val="009D1B95"/>
    <w:rsid w:val="009D284A"/>
    <w:rsid w:val="009D6119"/>
    <w:rsid w:val="009D63BD"/>
    <w:rsid w:val="009D6749"/>
    <w:rsid w:val="009D6DCB"/>
    <w:rsid w:val="009E1B57"/>
    <w:rsid w:val="009E6C28"/>
    <w:rsid w:val="009E7E40"/>
    <w:rsid w:val="009F126E"/>
    <w:rsid w:val="009F5DCD"/>
    <w:rsid w:val="009F6BC0"/>
    <w:rsid w:val="00A01C70"/>
    <w:rsid w:val="00A05A4F"/>
    <w:rsid w:val="00A061D8"/>
    <w:rsid w:val="00A070F5"/>
    <w:rsid w:val="00A07161"/>
    <w:rsid w:val="00A1154E"/>
    <w:rsid w:val="00A12359"/>
    <w:rsid w:val="00A128EF"/>
    <w:rsid w:val="00A14F53"/>
    <w:rsid w:val="00A21768"/>
    <w:rsid w:val="00A219C9"/>
    <w:rsid w:val="00A239D9"/>
    <w:rsid w:val="00A25902"/>
    <w:rsid w:val="00A26467"/>
    <w:rsid w:val="00A2695B"/>
    <w:rsid w:val="00A31A15"/>
    <w:rsid w:val="00A33440"/>
    <w:rsid w:val="00A33682"/>
    <w:rsid w:val="00A33E4B"/>
    <w:rsid w:val="00A3680C"/>
    <w:rsid w:val="00A374F3"/>
    <w:rsid w:val="00A45D52"/>
    <w:rsid w:val="00A46971"/>
    <w:rsid w:val="00A502B7"/>
    <w:rsid w:val="00A51BA4"/>
    <w:rsid w:val="00A51CA9"/>
    <w:rsid w:val="00A5503F"/>
    <w:rsid w:val="00A574A3"/>
    <w:rsid w:val="00A579A6"/>
    <w:rsid w:val="00A57EB6"/>
    <w:rsid w:val="00A61A25"/>
    <w:rsid w:val="00A65529"/>
    <w:rsid w:val="00A65ECF"/>
    <w:rsid w:val="00A67D92"/>
    <w:rsid w:val="00A7031B"/>
    <w:rsid w:val="00A70C04"/>
    <w:rsid w:val="00A74658"/>
    <w:rsid w:val="00A76042"/>
    <w:rsid w:val="00A83062"/>
    <w:rsid w:val="00A8321C"/>
    <w:rsid w:val="00A8390B"/>
    <w:rsid w:val="00A84AE2"/>
    <w:rsid w:val="00A90D6F"/>
    <w:rsid w:val="00A9457E"/>
    <w:rsid w:val="00AA1DC1"/>
    <w:rsid w:val="00AA5F33"/>
    <w:rsid w:val="00AA6801"/>
    <w:rsid w:val="00AA6E48"/>
    <w:rsid w:val="00AA7635"/>
    <w:rsid w:val="00AB1326"/>
    <w:rsid w:val="00AB1A14"/>
    <w:rsid w:val="00AB1E5F"/>
    <w:rsid w:val="00AB2C10"/>
    <w:rsid w:val="00AB3D9E"/>
    <w:rsid w:val="00AC205B"/>
    <w:rsid w:val="00AC2877"/>
    <w:rsid w:val="00AC2CAF"/>
    <w:rsid w:val="00AC6BAC"/>
    <w:rsid w:val="00AD0D11"/>
    <w:rsid w:val="00AD48E0"/>
    <w:rsid w:val="00AD67A3"/>
    <w:rsid w:val="00AE0389"/>
    <w:rsid w:val="00AE3888"/>
    <w:rsid w:val="00AE505E"/>
    <w:rsid w:val="00AE5ECB"/>
    <w:rsid w:val="00AE6D50"/>
    <w:rsid w:val="00AF23D6"/>
    <w:rsid w:val="00AF32DD"/>
    <w:rsid w:val="00AF711B"/>
    <w:rsid w:val="00B02AE6"/>
    <w:rsid w:val="00B0488A"/>
    <w:rsid w:val="00B04A64"/>
    <w:rsid w:val="00B11BF7"/>
    <w:rsid w:val="00B13690"/>
    <w:rsid w:val="00B2030C"/>
    <w:rsid w:val="00B246FE"/>
    <w:rsid w:val="00B256E1"/>
    <w:rsid w:val="00B26DD0"/>
    <w:rsid w:val="00B34AA7"/>
    <w:rsid w:val="00B400AD"/>
    <w:rsid w:val="00B430F3"/>
    <w:rsid w:val="00B51010"/>
    <w:rsid w:val="00B55926"/>
    <w:rsid w:val="00B60AB4"/>
    <w:rsid w:val="00B63DC6"/>
    <w:rsid w:val="00B708AB"/>
    <w:rsid w:val="00B72D43"/>
    <w:rsid w:val="00B73E59"/>
    <w:rsid w:val="00B75BE3"/>
    <w:rsid w:val="00B76A7D"/>
    <w:rsid w:val="00B76F6A"/>
    <w:rsid w:val="00B7793D"/>
    <w:rsid w:val="00B779B1"/>
    <w:rsid w:val="00B8055D"/>
    <w:rsid w:val="00B81EE8"/>
    <w:rsid w:val="00B84396"/>
    <w:rsid w:val="00B87045"/>
    <w:rsid w:val="00B872A0"/>
    <w:rsid w:val="00B9307C"/>
    <w:rsid w:val="00B93233"/>
    <w:rsid w:val="00B95F2D"/>
    <w:rsid w:val="00BA2846"/>
    <w:rsid w:val="00BA5488"/>
    <w:rsid w:val="00BA5B4F"/>
    <w:rsid w:val="00BA6A5A"/>
    <w:rsid w:val="00BB3536"/>
    <w:rsid w:val="00BB3A58"/>
    <w:rsid w:val="00BC107D"/>
    <w:rsid w:val="00BC5553"/>
    <w:rsid w:val="00BD064F"/>
    <w:rsid w:val="00BD2D24"/>
    <w:rsid w:val="00BD3371"/>
    <w:rsid w:val="00BD5373"/>
    <w:rsid w:val="00BF1BE6"/>
    <w:rsid w:val="00BF4A7F"/>
    <w:rsid w:val="00BF4B21"/>
    <w:rsid w:val="00BF7553"/>
    <w:rsid w:val="00C02E14"/>
    <w:rsid w:val="00C02F7E"/>
    <w:rsid w:val="00C03A8B"/>
    <w:rsid w:val="00C05701"/>
    <w:rsid w:val="00C0618D"/>
    <w:rsid w:val="00C10FFE"/>
    <w:rsid w:val="00C11A23"/>
    <w:rsid w:val="00C11BD9"/>
    <w:rsid w:val="00C1302D"/>
    <w:rsid w:val="00C17752"/>
    <w:rsid w:val="00C2086C"/>
    <w:rsid w:val="00C21872"/>
    <w:rsid w:val="00C224EB"/>
    <w:rsid w:val="00C23D89"/>
    <w:rsid w:val="00C249B6"/>
    <w:rsid w:val="00C27ABB"/>
    <w:rsid w:val="00C34EE9"/>
    <w:rsid w:val="00C35D44"/>
    <w:rsid w:val="00C40BE9"/>
    <w:rsid w:val="00C41B13"/>
    <w:rsid w:val="00C420F5"/>
    <w:rsid w:val="00C424E1"/>
    <w:rsid w:val="00C50D86"/>
    <w:rsid w:val="00C518F5"/>
    <w:rsid w:val="00C5299E"/>
    <w:rsid w:val="00C53584"/>
    <w:rsid w:val="00C547CE"/>
    <w:rsid w:val="00C564EB"/>
    <w:rsid w:val="00C57D8E"/>
    <w:rsid w:val="00C77164"/>
    <w:rsid w:val="00C77526"/>
    <w:rsid w:val="00C83DA2"/>
    <w:rsid w:val="00C92243"/>
    <w:rsid w:val="00C972DC"/>
    <w:rsid w:val="00C974F5"/>
    <w:rsid w:val="00C9796D"/>
    <w:rsid w:val="00CA0A72"/>
    <w:rsid w:val="00CA255C"/>
    <w:rsid w:val="00CA27BD"/>
    <w:rsid w:val="00CA48CD"/>
    <w:rsid w:val="00CA6AF2"/>
    <w:rsid w:val="00CB17F2"/>
    <w:rsid w:val="00CB2785"/>
    <w:rsid w:val="00CB2A07"/>
    <w:rsid w:val="00CB30FA"/>
    <w:rsid w:val="00CB3271"/>
    <w:rsid w:val="00CB72BB"/>
    <w:rsid w:val="00CB7BE0"/>
    <w:rsid w:val="00CC185C"/>
    <w:rsid w:val="00CC3A9B"/>
    <w:rsid w:val="00CC50D3"/>
    <w:rsid w:val="00CC5E46"/>
    <w:rsid w:val="00CC6655"/>
    <w:rsid w:val="00CC6E4E"/>
    <w:rsid w:val="00CC7890"/>
    <w:rsid w:val="00CD361C"/>
    <w:rsid w:val="00CD3935"/>
    <w:rsid w:val="00CD5FF8"/>
    <w:rsid w:val="00CD7CF1"/>
    <w:rsid w:val="00CE451D"/>
    <w:rsid w:val="00CF2D09"/>
    <w:rsid w:val="00D067B0"/>
    <w:rsid w:val="00D06860"/>
    <w:rsid w:val="00D154AE"/>
    <w:rsid w:val="00D15513"/>
    <w:rsid w:val="00D20B2E"/>
    <w:rsid w:val="00D236B5"/>
    <w:rsid w:val="00D2774E"/>
    <w:rsid w:val="00D3753C"/>
    <w:rsid w:val="00D410DE"/>
    <w:rsid w:val="00D43C71"/>
    <w:rsid w:val="00D47422"/>
    <w:rsid w:val="00D534FF"/>
    <w:rsid w:val="00D57391"/>
    <w:rsid w:val="00D573C7"/>
    <w:rsid w:val="00D61149"/>
    <w:rsid w:val="00D62535"/>
    <w:rsid w:val="00D64D9B"/>
    <w:rsid w:val="00D673ED"/>
    <w:rsid w:val="00D70EE4"/>
    <w:rsid w:val="00D71F47"/>
    <w:rsid w:val="00D7212F"/>
    <w:rsid w:val="00D74449"/>
    <w:rsid w:val="00D7541A"/>
    <w:rsid w:val="00D76376"/>
    <w:rsid w:val="00D7768D"/>
    <w:rsid w:val="00D803CD"/>
    <w:rsid w:val="00D816D4"/>
    <w:rsid w:val="00D81C70"/>
    <w:rsid w:val="00D83148"/>
    <w:rsid w:val="00D87C5D"/>
    <w:rsid w:val="00D932A0"/>
    <w:rsid w:val="00D957E8"/>
    <w:rsid w:val="00D967DE"/>
    <w:rsid w:val="00D96DAD"/>
    <w:rsid w:val="00D97FD9"/>
    <w:rsid w:val="00DA1A7C"/>
    <w:rsid w:val="00DA3EC4"/>
    <w:rsid w:val="00DA503C"/>
    <w:rsid w:val="00DA58C7"/>
    <w:rsid w:val="00DB3BD6"/>
    <w:rsid w:val="00DB4557"/>
    <w:rsid w:val="00DB5A14"/>
    <w:rsid w:val="00DB6CCF"/>
    <w:rsid w:val="00DB7C25"/>
    <w:rsid w:val="00DC1E7D"/>
    <w:rsid w:val="00DC2DAB"/>
    <w:rsid w:val="00DC7AFD"/>
    <w:rsid w:val="00DD63DC"/>
    <w:rsid w:val="00DE31F4"/>
    <w:rsid w:val="00DE411C"/>
    <w:rsid w:val="00DE48C1"/>
    <w:rsid w:val="00DE6A5A"/>
    <w:rsid w:val="00DE6B61"/>
    <w:rsid w:val="00DF3D46"/>
    <w:rsid w:val="00DF585D"/>
    <w:rsid w:val="00DF71FF"/>
    <w:rsid w:val="00DF7F55"/>
    <w:rsid w:val="00E06269"/>
    <w:rsid w:val="00E07FFC"/>
    <w:rsid w:val="00E13524"/>
    <w:rsid w:val="00E17094"/>
    <w:rsid w:val="00E171B7"/>
    <w:rsid w:val="00E171CC"/>
    <w:rsid w:val="00E20322"/>
    <w:rsid w:val="00E239A1"/>
    <w:rsid w:val="00E241F9"/>
    <w:rsid w:val="00E245D1"/>
    <w:rsid w:val="00E3050A"/>
    <w:rsid w:val="00E31782"/>
    <w:rsid w:val="00E31A74"/>
    <w:rsid w:val="00E34608"/>
    <w:rsid w:val="00E43247"/>
    <w:rsid w:val="00E442A3"/>
    <w:rsid w:val="00E44581"/>
    <w:rsid w:val="00E4657E"/>
    <w:rsid w:val="00E523C3"/>
    <w:rsid w:val="00E5386F"/>
    <w:rsid w:val="00E53B2C"/>
    <w:rsid w:val="00E5462E"/>
    <w:rsid w:val="00E6107B"/>
    <w:rsid w:val="00E63702"/>
    <w:rsid w:val="00E63B89"/>
    <w:rsid w:val="00E64835"/>
    <w:rsid w:val="00E668AB"/>
    <w:rsid w:val="00E6710A"/>
    <w:rsid w:val="00E70533"/>
    <w:rsid w:val="00E7118A"/>
    <w:rsid w:val="00E719A5"/>
    <w:rsid w:val="00E76023"/>
    <w:rsid w:val="00E761E4"/>
    <w:rsid w:val="00E770BC"/>
    <w:rsid w:val="00E81B79"/>
    <w:rsid w:val="00E836BE"/>
    <w:rsid w:val="00E8414C"/>
    <w:rsid w:val="00E845F1"/>
    <w:rsid w:val="00E934E3"/>
    <w:rsid w:val="00E93B10"/>
    <w:rsid w:val="00E96BE0"/>
    <w:rsid w:val="00E97D0B"/>
    <w:rsid w:val="00EA425D"/>
    <w:rsid w:val="00EA5C9B"/>
    <w:rsid w:val="00EA71F0"/>
    <w:rsid w:val="00EB42B9"/>
    <w:rsid w:val="00EB4D1E"/>
    <w:rsid w:val="00EB6250"/>
    <w:rsid w:val="00EC039C"/>
    <w:rsid w:val="00EC120E"/>
    <w:rsid w:val="00EC1D0C"/>
    <w:rsid w:val="00EC4D9E"/>
    <w:rsid w:val="00EC5EBF"/>
    <w:rsid w:val="00EC7A08"/>
    <w:rsid w:val="00EC7E96"/>
    <w:rsid w:val="00EC7F3A"/>
    <w:rsid w:val="00ED4CD1"/>
    <w:rsid w:val="00ED5280"/>
    <w:rsid w:val="00EE35BE"/>
    <w:rsid w:val="00EE6BBE"/>
    <w:rsid w:val="00EF0A2B"/>
    <w:rsid w:val="00EF19F0"/>
    <w:rsid w:val="00EF4601"/>
    <w:rsid w:val="00EF654C"/>
    <w:rsid w:val="00EF672C"/>
    <w:rsid w:val="00F0034D"/>
    <w:rsid w:val="00F04A3B"/>
    <w:rsid w:val="00F04C24"/>
    <w:rsid w:val="00F062C2"/>
    <w:rsid w:val="00F063E6"/>
    <w:rsid w:val="00F06CBD"/>
    <w:rsid w:val="00F10306"/>
    <w:rsid w:val="00F10DC5"/>
    <w:rsid w:val="00F1399B"/>
    <w:rsid w:val="00F20BF6"/>
    <w:rsid w:val="00F21826"/>
    <w:rsid w:val="00F21860"/>
    <w:rsid w:val="00F26BAD"/>
    <w:rsid w:val="00F3045D"/>
    <w:rsid w:val="00F31373"/>
    <w:rsid w:val="00F327F3"/>
    <w:rsid w:val="00F33191"/>
    <w:rsid w:val="00F35682"/>
    <w:rsid w:val="00F42315"/>
    <w:rsid w:val="00F532A3"/>
    <w:rsid w:val="00F53759"/>
    <w:rsid w:val="00F610DA"/>
    <w:rsid w:val="00F62EC9"/>
    <w:rsid w:val="00F6490D"/>
    <w:rsid w:val="00F649B0"/>
    <w:rsid w:val="00F6780A"/>
    <w:rsid w:val="00F679B1"/>
    <w:rsid w:val="00F70E24"/>
    <w:rsid w:val="00F7193C"/>
    <w:rsid w:val="00F7392A"/>
    <w:rsid w:val="00F739EC"/>
    <w:rsid w:val="00F753A3"/>
    <w:rsid w:val="00F75587"/>
    <w:rsid w:val="00F80A2F"/>
    <w:rsid w:val="00F8242F"/>
    <w:rsid w:val="00F8715C"/>
    <w:rsid w:val="00F94998"/>
    <w:rsid w:val="00F94D25"/>
    <w:rsid w:val="00F953C0"/>
    <w:rsid w:val="00F96C98"/>
    <w:rsid w:val="00FA27B6"/>
    <w:rsid w:val="00FB3BD9"/>
    <w:rsid w:val="00FB4246"/>
    <w:rsid w:val="00FB5D29"/>
    <w:rsid w:val="00FC2D9A"/>
    <w:rsid w:val="00FD2DF5"/>
    <w:rsid w:val="00FD3130"/>
    <w:rsid w:val="00FD560A"/>
    <w:rsid w:val="00FD58FE"/>
    <w:rsid w:val="00FE1AA3"/>
    <w:rsid w:val="00FE32C4"/>
    <w:rsid w:val="00FE3828"/>
    <w:rsid w:val="00FF021A"/>
    <w:rsid w:val="00FF1FAC"/>
    <w:rsid w:val="00FF4A62"/>
    <w:rsid w:val="0128A02C"/>
    <w:rsid w:val="01803B59"/>
    <w:rsid w:val="02319104"/>
    <w:rsid w:val="0255CC27"/>
    <w:rsid w:val="02EFE056"/>
    <w:rsid w:val="036E865A"/>
    <w:rsid w:val="041E8885"/>
    <w:rsid w:val="043DA94C"/>
    <w:rsid w:val="04D929A9"/>
    <w:rsid w:val="0519362A"/>
    <w:rsid w:val="05270BDE"/>
    <w:rsid w:val="05C836FC"/>
    <w:rsid w:val="061D5333"/>
    <w:rsid w:val="08036545"/>
    <w:rsid w:val="083BB24F"/>
    <w:rsid w:val="08642849"/>
    <w:rsid w:val="088C539C"/>
    <w:rsid w:val="09B9546A"/>
    <w:rsid w:val="09CF2569"/>
    <w:rsid w:val="0A6701C8"/>
    <w:rsid w:val="0A9E8B90"/>
    <w:rsid w:val="0ABE24CA"/>
    <w:rsid w:val="0AC93C7C"/>
    <w:rsid w:val="0AEAD99D"/>
    <w:rsid w:val="0B1C8433"/>
    <w:rsid w:val="0B28526B"/>
    <w:rsid w:val="0BAB23EC"/>
    <w:rsid w:val="0BC25F8A"/>
    <w:rsid w:val="0C074CF0"/>
    <w:rsid w:val="0C3EB083"/>
    <w:rsid w:val="0C4FCEA4"/>
    <w:rsid w:val="0C8A3412"/>
    <w:rsid w:val="0D1D7BE8"/>
    <w:rsid w:val="0D21F2DB"/>
    <w:rsid w:val="0F33A760"/>
    <w:rsid w:val="0F37706D"/>
    <w:rsid w:val="1021A150"/>
    <w:rsid w:val="10CE4103"/>
    <w:rsid w:val="116E9565"/>
    <w:rsid w:val="11D4B79F"/>
    <w:rsid w:val="12767C7B"/>
    <w:rsid w:val="12ECFF82"/>
    <w:rsid w:val="13E1DEA3"/>
    <w:rsid w:val="1430FDE8"/>
    <w:rsid w:val="14CEF1EA"/>
    <w:rsid w:val="156DD105"/>
    <w:rsid w:val="15754CC9"/>
    <w:rsid w:val="1595AAE0"/>
    <w:rsid w:val="1600EFC5"/>
    <w:rsid w:val="161C03D5"/>
    <w:rsid w:val="16D9A8E3"/>
    <w:rsid w:val="17085B26"/>
    <w:rsid w:val="177C13CA"/>
    <w:rsid w:val="17B90B86"/>
    <w:rsid w:val="18195B6C"/>
    <w:rsid w:val="1920B52C"/>
    <w:rsid w:val="194BCFF3"/>
    <w:rsid w:val="19C060A9"/>
    <w:rsid w:val="1A2814C8"/>
    <w:rsid w:val="1AA1F4EB"/>
    <w:rsid w:val="1AA41B4B"/>
    <w:rsid w:val="1BF68588"/>
    <w:rsid w:val="1C6B16E8"/>
    <w:rsid w:val="1C8A4598"/>
    <w:rsid w:val="1C8DDD3B"/>
    <w:rsid w:val="1CE4099D"/>
    <w:rsid w:val="1CFF6F7D"/>
    <w:rsid w:val="1DDFC3DD"/>
    <w:rsid w:val="1E2077A3"/>
    <w:rsid w:val="1E7BAD9D"/>
    <w:rsid w:val="1EDEA495"/>
    <w:rsid w:val="1FFBCA4D"/>
    <w:rsid w:val="20766A8B"/>
    <w:rsid w:val="210D2AFD"/>
    <w:rsid w:val="214529A8"/>
    <w:rsid w:val="2169B3EC"/>
    <w:rsid w:val="21C30D01"/>
    <w:rsid w:val="22760BC0"/>
    <w:rsid w:val="235BBC2E"/>
    <w:rsid w:val="23ADEEF0"/>
    <w:rsid w:val="23B4A0AD"/>
    <w:rsid w:val="23B6AA7D"/>
    <w:rsid w:val="2428A261"/>
    <w:rsid w:val="248505D8"/>
    <w:rsid w:val="2575A93B"/>
    <w:rsid w:val="257D3367"/>
    <w:rsid w:val="258F203A"/>
    <w:rsid w:val="260962AA"/>
    <w:rsid w:val="26D2E4C4"/>
    <w:rsid w:val="27A55B06"/>
    <w:rsid w:val="27E3E23C"/>
    <w:rsid w:val="28B1B3E7"/>
    <w:rsid w:val="28BC227B"/>
    <w:rsid w:val="298B182B"/>
    <w:rsid w:val="29AD982B"/>
    <w:rsid w:val="2AB65D1A"/>
    <w:rsid w:val="2B5817DD"/>
    <w:rsid w:val="2B9CB533"/>
    <w:rsid w:val="2B9E77BE"/>
    <w:rsid w:val="2BB7B253"/>
    <w:rsid w:val="2C7294EB"/>
    <w:rsid w:val="2D3B667D"/>
    <w:rsid w:val="2D86C976"/>
    <w:rsid w:val="2DB649A2"/>
    <w:rsid w:val="2DE88908"/>
    <w:rsid w:val="2DF12B03"/>
    <w:rsid w:val="2EE14472"/>
    <w:rsid w:val="2F7AABC5"/>
    <w:rsid w:val="2FA8DE39"/>
    <w:rsid w:val="300502F5"/>
    <w:rsid w:val="301020EC"/>
    <w:rsid w:val="3132276C"/>
    <w:rsid w:val="31C883B9"/>
    <w:rsid w:val="31D97730"/>
    <w:rsid w:val="3267943A"/>
    <w:rsid w:val="32B4ED28"/>
    <w:rsid w:val="3348B4BE"/>
    <w:rsid w:val="3398E5AC"/>
    <w:rsid w:val="34A6A2AD"/>
    <w:rsid w:val="350E4F97"/>
    <w:rsid w:val="35249916"/>
    <w:rsid w:val="35B5CA13"/>
    <w:rsid w:val="37DD3D19"/>
    <w:rsid w:val="38676828"/>
    <w:rsid w:val="38F83539"/>
    <w:rsid w:val="38F8EAAA"/>
    <w:rsid w:val="3A5CD573"/>
    <w:rsid w:val="3AD1E7DA"/>
    <w:rsid w:val="3B22EB80"/>
    <w:rsid w:val="3B4550A3"/>
    <w:rsid w:val="3C868B54"/>
    <w:rsid w:val="3D6688D1"/>
    <w:rsid w:val="3E3BCCA2"/>
    <w:rsid w:val="3EB1B211"/>
    <w:rsid w:val="3EE4A0B6"/>
    <w:rsid w:val="3F6DFEDB"/>
    <w:rsid w:val="3FC5F055"/>
    <w:rsid w:val="407B7063"/>
    <w:rsid w:val="40A17232"/>
    <w:rsid w:val="4131F083"/>
    <w:rsid w:val="41A5C28A"/>
    <w:rsid w:val="41B39B2E"/>
    <w:rsid w:val="41F53305"/>
    <w:rsid w:val="42930D54"/>
    <w:rsid w:val="42F32C89"/>
    <w:rsid w:val="430E3445"/>
    <w:rsid w:val="438024B0"/>
    <w:rsid w:val="439AD987"/>
    <w:rsid w:val="43D06C5A"/>
    <w:rsid w:val="44020CA8"/>
    <w:rsid w:val="443ACA84"/>
    <w:rsid w:val="44592157"/>
    <w:rsid w:val="44F48539"/>
    <w:rsid w:val="45B88353"/>
    <w:rsid w:val="45F146F0"/>
    <w:rsid w:val="46969AAF"/>
    <w:rsid w:val="46DC4D78"/>
    <w:rsid w:val="478E583A"/>
    <w:rsid w:val="47C1C15D"/>
    <w:rsid w:val="47D86B52"/>
    <w:rsid w:val="48543E1B"/>
    <w:rsid w:val="486CCF43"/>
    <w:rsid w:val="48FA03F5"/>
    <w:rsid w:val="49050F6C"/>
    <w:rsid w:val="4A03DDCA"/>
    <w:rsid w:val="4A479F2E"/>
    <w:rsid w:val="4B440920"/>
    <w:rsid w:val="4B733DB6"/>
    <w:rsid w:val="4C461872"/>
    <w:rsid w:val="4C8BF920"/>
    <w:rsid w:val="4D00239E"/>
    <w:rsid w:val="4DABE0B8"/>
    <w:rsid w:val="4DBF15FF"/>
    <w:rsid w:val="4E43C761"/>
    <w:rsid w:val="4EBB1F22"/>
    <w:rsid w:val="4EEC7307"/>
    <w:rsid w:val="4F4B0FBA"/>
    <w:rsid w:val="4F567FBE"/>
    <w:rsid w:val="4FD42BEB"/>
    <w:rsid w:val="50BE1D62"/>
    <w:rsid w:val="510EF829"/>
    <w:rsid w:val="51400E22"/>
    <w:rsid w:val="516705DC"/>
    <w:rsid w:val="519E7F68"/>
    <w:rsid w:val="51C7D610"/>
    <w:rsid w:val="51CF3DBC"/>
    <w:rsid w:val="529EF78D"/>
    <w:rsid w:val="52B8756F"/>
    <w:rsid w:val="52B9C348"/>
    <w:rsid w:val="5383ED26"/>
    <w:rsid w:val="53F6F3A8"/>
    <w:rsid w:val="53FC4713"/>
    <w:rsid w:val="53FD2223"/>
    <w:rsid w:val="54273DD8"/>
    <w:rsid w:val="54596FB0"/>
    <w:rsid w:val="5463BCA7"/>
    <w:rsid w:val="546A7057"/>
    <w:rsid w:val="5534732A"/>
    <w:rsid w:val="56455F14"/>
    <w:rsid w:val="5671A0FE"/>
    <w:rsid w:val="568A205A"/>
    <w:rsid w:val="56CA3AC6"/>
    <w:rsid w:val="578E1ABF"/>
    <w:rsid w:val="57B06839"/>
    <w:rsid w:val="58010B29"/>
    <w:rsid w:val="58AB8001"/>
    <w:rsid w:val="594C9AA8"/>
    <w:rsid w:val="595292F8"/>
    <w:rsid w:val="5AF0B9D0"/>
    <w:rsid w:val="5B26CD89"/>
    <w:rsid w:val="5B3C02CE"/>
    <w:rsid w:val="5C30FD06"/>
    <w:rsid w:val="5C868299"/>
    <w:rsid w:val="5CB32C7F"/>
    <w:rsid w:val="5D22F6CF"/>
    <w:rsid w:val="5D673A7D"/>
    <w:rsid w:val="5DBB8BC5"/>
    <w:rsid w:val="5E1B8B4C"/>
    <w:rsid w:val="5EAF53FD"/>
    <w:rsid w:val="600A6A51"/>
    <w:rsid w:val="608874B1"/>
    <w:rsid w:val="61171D6A"/>
    <w:rsid w:val="61C8DC54"/>
    <w:rsid w:val="6203350F"/>
    <w:rsid w:val="62042DAB"/>
    <w:rsid w:val="622C09E9"/>
    <w:rsid w:val="6328B8ED"/>
    <w:rsid w:val="646EABFC"/>
    <w:rsid w:val="64A84FA1"/>
    <w:rsid w:val="6552CC1A"/>
    <w:rsid w:val="65AE1342"/>
    <w:rsid w:val="6659482D"/>
    <w:rsid w:val="66A9CFF4"/>
    <w:rsid w:val="66D2CCA3"/>
    <w:rsid w:val="6707E326"/>
    <w:rsid w:val="671BF8CB"/>
    <w:rsid w:val="69DC9076"/>
    <w:rsid w:val="6AA3C083"/>
    <w:rsid w:val="6AC20D8C"/>
    <w:rsid w:val="6B23F037"/>
    <w:rsid w:val="6B36C478"/>
    <w:rsid w:val="6B7223AA"/>
    <w:rsid w:val="6C7AA062"/>
    <w:rsid w:val="6DE5F629"/>
    <w:rsid w:val="6E0231BA"/>
    <w:rsid w:val="6E38BA5C"/>
    <w:rsid w:val="6E7D5542"/>
    <w:rsid w:val="6E8089EC"/>
    <w:rsid w:val="6ED759AA"/>
    <w:rsid w:val="6F1AAE87"/>
    <w:rsid w:val="6F8741A4"/>
    <w:rsid w:val="6FA48EF7"/>
    <w:rsid w:val="6FEAAA7F"/>
    <w:rsid w:val="70645D55"/>
    <w:rsid w:val="70708434"/>
    <w:rsid w:val="7089E7BB"/>
    <w:rsid w:val="70D9AF50"/>
    <w:rsid w:val="71315573"/>
    <w:rsid w:val="7144DB9E"/>
    <w:rsid w:val="7155034D"/>
    <w:rsid w:val="722247B1"/>
    <w:rsid w:val="723C3741"/>
    <w:rsid w:val="726174DF"/>
    <w:rsid w:val="726BF4BA"/>
    <w:rsid w:val="72A0A1BF"/>
    <w:rsid w:val="72E05EAE"/>
    <w:rsid w:val="72F539C0"/>
    <w:rsid w:val="73DCD001"/>
    <w:rsid w:val="740D7532"/>
    <w:rsid w:val="74AFCD5C"/>
    <w:rsid w:val="7515036F"/>
    <w:rsid w:val="765B468A"/>
    <w:rsid w:val="7680B472"/>
    <w:rsid w:val="76E03A06"/>
    <w:rsid w:val="7708D61C"/>
    <w:rsid w:val="77731308"/>
    <w:rsid w:val="77C8D043"/>
    <w:rsid w:val="7875103C"/>
    <w:rsid w:val="78827D78"/>
    <w:rsid w:val="78AB1583"/>
    <w:rsid w:val="78D0CFC3"/>
    <w:rsid w:val="78FCD2D5"/>
    <w:rsid w:val="793DA89C"/>
    <w:rsid w:val="795C4CF2"/>
    <w:rsid w:val="7B5EE6FF"/>
    <w:rsid w:val="7B95EB74"/>
    <w:rsid w:val="7C0BFC87"/>
    <w:rsid w:val="7D0A6634"/>
    <w:rsid w:val="7D6B83C7"/>
    <w:rsid w:val="7E542958"/>
    <w:rsid w:val="7E948524"/>
    <w:rsid w:val="7F54D95F"/>
    <w:rsid w:val="7F71D0B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705C"/>
  <w15:chartTrackingRefBased/>
  <w15:docId w15:val="{B598BA9F-EB4A-48EB-96DD-37CEA754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D7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D7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D70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D70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D70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D70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D70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D70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D705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705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D705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D705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D705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D705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D705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D705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D705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D7055"/>
    <w:rPr>
      <w:rFonts w:eastAsiaTheme="majorEastAsia" w:cstheme="majorBidi"/>
      <w:color w:val="272727" w:themeColor="text1" w:themeTint="D8"/>
    </w:rPr>
  </w:style>
  <w:style w:type="paragraph" w:styleId="Ttulo">
    <w:name w:val="Title"/>
    <w:basedOn w:val="Normal"/>
    <w:next w:val="Normal"/>
    <w:link w:val="TtuloChar"/>
    <w:uiPriority w:val="10"/>
    <w:qFormat/>
    <w:rsid w:val="007D7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D7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D705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D705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D7055"/>
    <w:pPr>
      <w:spacing w:before="160"/>
      <w:jc w:val="center"/>
    </w:pPr>
    <w:rPr>
      <w:i/>
      <w:iCs/>
      <w:color w:val="404040" w:themeColor="text1" w:themeTint="BF"/>
    </w:rPr>
  </w:style>
  <w:style w:type="character" w:customStyle="1" w:styleId="CitaoChar">
    <w:name w:val="Citação Char"/>
    <w:basedOn w:val="Fontepargpadro"/>
    <w:link w:val="Citao"/>
    <w:uiPriority w:val="29"/>
    <w:rsid w:val="007D7055"/>
    <w:rPr>
      <w:i/>
      <w:iCs/>
      <w:color w:val="404040" w:themeColor="text1" w:themeTint="BF"/>
    </w:rPr>
  </w:style>
  <w:style w:type="paragraph" w:styleId="PargrafodaLista">
    <w:name w:val="List Paragraph"/>
    <w:basedOn w:val="Normal"/>
    <w:uiPriority w:val="34"/>
    <w:qFormat/>
    <w:rsid w:val="007D7055"/>
    <w:pPr>
      <w:ind w:left="720"/>
      <w:contextualSpacing/>
    </w:pPr>
  </w:style>
  <w:style w:type="character" w:styleId="nfaseIntensa">
    <w:name w:val="Intense Emphasis"/>
    <w:basedOn w:val="Fontepargpadro"/>
    <w:uiPriority w:val="21"/>
    <w:qFormat/>
    <w:rsid w:val="007D7055"/>
    <w:rPr>
      <w:i/>
      <w:iCs/>
      <w:color w:val="0F4761" w:themeColor="accent1" w:themeShade="BF"/>
    </w:rPr>
  </w:style>
  <w:style w:type="paragraph" w:styleId="CitaoIntensa">
    <w:name w:val="Intense Quote"/>
    <w:basedOn w:val="Normal"/>
    <w:next w:val="Normal"/>
    <w:link w:val="CitaoIntensaChar"/>
    <w:uiPriority w:val="30"/>
    <w:qFormat/>
    <w:rsid w:val="007D7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D7055"/>
    <w:rPr>
      <w:i/>
      <w:iCs/>
      <w:color w:val="0F4761" w:themeColor="accent1" w:themeShade="BF"/>
    </w:rPr>
  </w:style>
  <w:style w:type="character" w:styleId="RefernciaIntensa">
    <w:name w:val="Intense Reference"/>
    <w:basedOn w:val="Fontepargpadro"/>
    <w:uiPriority w:val="32"/>
    <w:qFormat/>
    <w:rsid w:val="007D7055"/>
    <w:rPr>
      <w:b/>
      <w:bCs/>
      <w:smallCaps/>
      <w:color w:val="0F4761" w:themeColor="accent1" w:themeShade="BF"/>
      <w:spacing w:val="5"/>
    </w:rPr>
  </w:style>
  <w:style w:type="paragraph" w:styleId="Textodenotaderodap">
    <w:name w:val="footnote text"/>
    <w:basedOn w:val="Normal"/>
    <w:link w:val="TextodenotaderodapChar"/>
    <w:uiPriority w:val="99"/>
    <w:semiHidden/>
    <w:unhideWhenUsed/>
    <w:rsid w:val="002A2D5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A2D5D"/>
    <w:rPr>
      <w:sz w:val="20"/>
      <w:szCs w:val="20"/>
    </w:rPr>
  </w:style>
  <w:style w:type="character" w:styleId="Refdenotaderodap">
    <w:name w:val="footnote reference"/>
    <w:basedOn w:val="Fontepargpadro"/>
    <w:uiPriority w:val="99"/>
    <w:semiHidden/>
    <w:unhideWhenUsed/>
    <w:rsid w:val="002A2D5D"/>
    <w:rPr>
      <w:vertAlign w:val="superscript"/>
    </w:rPr>
  </w:style>
  <w:style w:type="character" w:styleId="Hyperlink">
    <w:name w:val="Hyperlink"/>
    <w:basedOn w:val="Fontepargpadro"/>
    <w:uiPriority w:val="99"/>
    <w:unhideWhenUsed/>
    <w:rsid w:val="00493D77"/>
    <w:rPr>
      <w:color w:val="467886" w:themeColor="hyperlink"/>
      <w:u w:val="single"/>
    </w:rPr>
  </w:style>
  <w:style w:type="character" w:styleId="MenoPendente">
    <w:name w:val="Unresolved Mention"/>
    <w:basedOn w:val="Fontepargpadro"/>
    <w:uiPriority w:val="99"/>
    <w:semiHidden/>
    <w:unhideWhenUsed/>
    <w:rsid w:val="00493D77"/>
    <w:rPr>
      <w:color w:val="605E5C"/>
      <w:shd w:val="clear" w:color="auto" w:fill="E1DFDD"/>
    </w:rPr>
  </w:style>
  <w:style w:type="paragraph" w:styleId="Cabealho">
    <w:name w:val="header"/>
    <w:basedOn w:val="Normal"/>
    <w:link w:val="CabealhoChar"/>
    <w:uiPriority w:val="99"/>
    <w:unhideWhenUsed/>
    <w:rsid w:val="007965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6507"/>
  </w:style>
  <w:style w:type="paragraph" w:styleId="Rodap">
    <w:name w:val="footer"/>
    <w:basedOn w:val="Normal"/>
    <w:link w:val="RodapChar"/>
    <w:uiPriority w:val="99"/>
    <w:unhideWhenUsed/>
    <w:rsid w:val="00796507"/>
    <w:pPr>
      <w:tabs>
        <w:tab w:val="center" w:pos="4252"/>
        <w:tab w:val="right" w:pos="8504"/>
      </w:tabs>
      <w:spacing w:after="0" w:line="240" w:lineRule="auto"/>
    </w:pPr>
  </w:style>
  <w:style w:type="character" w:customStyle="1" w:styleId="RodapChar">
    <w:name w:val="Rodapé Char"/>
    <w:basedOn w:val="Fontepargpadro"/>
    <w:link w:val="Rodap"/>
    <w:uiPriority w:val="99"/>
    <w:rsid w:val="00796507"/>
  </w:style>
  <w:style w:type="paragraph" w:styleId="Reviso">
    <w:name w:val="Revision"/>
    <w:hidden/>
    <w:uiPriority w:val="99"/>
    <w:semiHidden/>
    <w:rsid w:val="003D1C18"/>
    <w:pPr>
      <w:spacing w:after="0" w:line="240" w:lineRule="auto"/>
    </w:pPr>
  </w:style>
  <w:style w:type="character" w:styleId="Refdecomentrio">
    <w:name w:val="annotation reference"/>
    <w:basedOn w:val="Fontepargpadro"/>
    <w:uiPriority w:val="99"/>
    <w:semiHidden/>
    <w:unhideWhenUsed/>
    <w:rsid w:val="00231818"/>
    <w:rPr>
      <w:sz w:val="16"/>
      <w:szCs w:val="16"/>
    </w:rPr>
  </w:style>
  <w:style w:type="paragraph" w:styleId="Textodecomentrio">
    <w:name w:val="annotation text"/>
    <w:basedOn w:val="Normal"/>
    <w:link w:val="TextodecomentrioChar"/>
    <w:uiPriority w:val="99"/>
    <w:unhideWhenUsed/>
    <w:rsid w:val="00231818"/>
    <w:pPr>
      <w:spacing w:line="240" w:lineRule="auto"/>
    </w:pPr>
    <w:rPr>
      <w:sz w:val="20"/>
      <w:szCs w:val="20"/>
    </w:rPr>
  </w:style>
  <w:style w:type="character" w:customStyle="1" w:styleId="TextodecomentrioChar">
    <w:name w:val="Texto de comentário Char"/>
    <w:basedOn w:val="Fontepargpadro"/>
    <w:link w:val="Textodecomentrio"/>
    <w:uiPriority w:val="99"/>
    <w:rsid w:val="00231818"/>
    <w:rPr>
      <w:sz w:val="20"/>
      <w:szCs w:val="20"/>
    </w:rPr>
  </w:style>
  <w:style w:type="paragraph" w:styleId="Assuntodocomentrio">
    <w:name w:val="annotation subject"/>
    <w:basedOn w:val="Textodecomentrio"/>
    <w:next w:val="Textodecomentrio"/>
    <w:link w:val="AssuntodocomentrioChar"/>
    <w:uiPriority w:val="99"/>
    <w:semiHidden/>
    <w:unhideWhenUsed/>
    <w:rsid w:val="00231818"/>
    <w:rPr>
      <w:b/>
      <w:bCs/>
    </w:rPr>
  </w:style>
  <w:style w:type="character" w:customStyle="1" w:styleId="AssuntodocomentrioChar">
    <w:name w:val="Assunto do comentário Char"/>
    <w:basedOn w:val="TextodecomentrioChar"/>
    <w:link w:val="Assuntodocomentrio"/>
    <w:uiPriority w:val="99"/>
    <w:semiHidden/>
    <w:rsid w:val="00231818"/>
    <w:rPr>
      <w:b/>
      <w:bCs/>
      <w:sz w:val="20"/>
      <w:szCs w:val="20"/>
    </w:rPr>
  </w:style>
  <w:style w:type="character" w:customStyle="1" w:styleId="person">
    <w:name w:val="person"/>
    <w:basedOn w:val="Fontepargpadro"/>
    <w:rsid w:val="00D573C7"/>
  </w:style>
  <w:style w:type="character" w:customStyle="1" w:styleId="personname">
    <w:name w:val="person_name"/>
    <w:basedOn w:val="Fontepargpadro"/>
    <w:rsid w:val="00D573C7"/>
  </w:style>
  <w:style w:type="character" w:styleId="nfase">
    <w:name w:val="Emphasis"/>
    <w:basedOn w:val="Fontepargpadro"/>
    <w:uiPriority w:val="20"/>
    <w:qFormat/>
    <w:rsid w:val="00D573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doi.org/10.1080/10580530.2012.716740" TargetMode="External"/><Relationship Id="rId26" Type="http://schemas.openxmlformats.org/officeDocument/2006/relationships/hyperlink" Target="https://doi.org/10.1080/17439884.2018.1556215" TargetMode="External"/><Relationship Id="rId3" Type="http://schemas.openxmlformats.org/officeDocument/2006/relationships/customXml" Target="../customXml/item3.xml"/><Relationship Id="rId21" Type="http://schemas.openxmlformats.org/officeDocument/2006/relationships/hyperlink" Target="https://www.ucl.ac.uk/bartlett/public-purpose/wp2024-05"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109/MIC.2020.2979639" TargetMode="External"/><Relationship Id="rId25" Type="http://schemas.openxmlformats.org/officeDocument/2006/relationships/hyperlink" Target="https://doi.org/10.1016/j.jsis.2019.01.003" TargetMode="External"/><Relationship Id="rId2" Type="http://schemas.openxmlformats.org/officeDocument/2006/relationships/customXml" Target="../customXml/item2.xml"/><Relationship Id="rId16" Type="http://schemas.openxmlformats.org/officeDocument/2006/relationships/hyperlink" Target="https://doi.org/10.1177/09520767231198737" TargetMode="External"/><Relationship Id="rId20" Type="http://schemas.openxmlformats.org/officeDocument/2006/relationships/hyperlink" Target="https://doi.org/10.1080/09540962.2024.23899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16/j.infoandorg.2025.100564" TargetMode="External"/><Relationship Id="rId5" Type="http://schemas.openxmlformats.org/officeDocument/2006/relationships/numbering" Target="numbering.xml"/><Relationship Id="rId15" Type="http://schemas.openxmlformats.org/officeDocument/2006/relationships/hyperlink" Target="https://cgi.br/media/docs/publicacoes/1/20231129143817/educacao_em_um_cenario_de_plataformiza%C3%A7ao_e_de_economia_de_dados_soberania_e_infraestrutura.pdf" TargetMode="External"/><Relationship Id="rId23" Type="http://schemas.openxmlformats.org/officeDocument/2006/relationships/hyperlink" Target="http://dx.doi.org/10.38116/9786556350509cap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111/puar.134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02680939.2015.1013271" TargetMode="External"/><Relationship Id="rId22" Type="http://schemas.openxmlformats.org/officeDocument/2006/relationships/hyperlink" Target="https://doi.org/10.1093/icc/dtad077"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br/gestao/pt-br/assuntos/noticias/2025/se/mais-de-130-milhoes-de-brasileiros-ja-utilizaram-o-gov-br-em-202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游ゴシック Light"/>
        <a:cs typeface="Times New Roman"/>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游明朝"/>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970C28EB3144143A0633EE9BFC2D92F" ma:contentTypeVersion="3" ma:contentTypeDescription="Crie um novo documento." ma:contentTypeScope="" ma:versionID="6d82a97420888b85ac9843ffd4ed4237">
  <xsd:schema xmlns:xsd="http://www.w3.org/2001/XMLSchema" xmlns:xs="http://www.w3.org/2001/XMLSchema" xmlns:p="http://schemas.microsoft.com/office/2006/metadata/properties" xmlns:ns2="f9604c4b-c894-4c64-a8d6-734ecb0fe45a" targetNamespace="http://schemas.microsoft.com/office/2006/metadata/properties" ma:root="true" ma:fieldsID="04b14f20d2cb46eb81e2ba26e6a1b0d5" ns2:_="">
    <xsd:import namespace="f9604c4b-c894-4c64-a8d6-734ecb0fe4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04c4b-c894-4c64-a8d6-734ecb0fe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173F2-506F-4E57-8292-D87FABA16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7AE333-1819-441F-9160-3A51509B6441}">
  <ds:schemaRefs>
    <ds:schemaRef ds:uri="http://schemas.openxmlformats.org/officeDocument/2006/bibliography"/>
  </ds:schemaRefs>
</ds:datastoreItem>
</file>

<file path=customXml/itemProps3.xml><?xml version="1.0" encoding="utf-8"?>
<ds:datastoreItem xmlns:ds="http://schemas.openxmlformats.org/officeDocument/2006/customXml" ds:itemID="{0A306EE8-ACCD-42FD-885E-887268E80C2B}">
  <ds:schemaRefs>
    <ds:schemaRef ds:uri="http://schemas.microsoft.com/sharepoint/v3/contenttype/forms"/>
  </ds:schemaRefs>
</ds:datastoreItem>
</file>

<file path=customXml/itemProps4.xml><?xml version="1.0" encoding="utf-8"?>
<ds:datastoreItem xmlns:ds="http://schemas.openxmlformats.org/officeDocument/2006/customXml" ds:itemID="{D6872806-AAE8-4523-988C-EF69B1BC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04c4b-c894-4c64-a8d6-734ecb0fe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5489</Words>
  <Characters>34803</Characters>
  <Application>Microsoft Office Word</Application>
  <DocSecurity>0</DocSecurity>
  <Lines>535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40186</CharactersWithSpaces>
  <SharedDoc>false</SharedDoc>
  <HLinks>
    <vt:vector size="84" baseType="variant">
      <vt:variant>
        <vt:i4>786510</vt:i4>
      </vt:variant>
      <vt:variant>
        <vt:i4>39</vt:i4>
      </vt:variant>
      <vt:variant>
        <vt:i4>0</vt:i4>
      </vt:variant>
      <vt:variant>
        <vt:i4>5</vt:i4>
      </vt:variant>
      <vt:variant>
        <vt:lpwstr>https://doi.org/10.1080/17439884.2018.1556215</vt:lpwstr>
      </vt:variant>
      <vt:variant>
        <vt:lpwstr/>
      </vt:variant>
      <vt:variant>
        <vt:i4>2293820</vt:i4>
      </vt:variant>
      <vt:variant>
        <vt:i4>36</vt:i4>
      </vt:variant>
      <vt:variant>
        <vt:i4>0</vt:i4>
      </vt:variant>
      <vt:variant>
        <vt:i4>5</vt:i4>
      </vt:variant>
      <vt:variant>
        <vt:lpwstr>https://doi.org/10.1016/j.jsis.2019.01.003</vt:lpwstr>
      </vt:variant>
      <vt:variant>
        <vt:lpwstr/>
      </vt:variant>
      <vt:variant>
        <vt:i4>4456530</vt:i4>
      </vt:variant>
      <vt:variant>
        <vt:i4>33</vt:i4>
      </vt:variant>
      <vt:variant>
        <vt:i4>0</vt:i4>
      </vt:variant>
      <vt:variant>
        <vt:i4>5</vt:i4>
      </vt:variant>
      <vt:variant>
        <vt:lpwstr>https://doi.org/10.1016/j.infoandorg.2025.100564</vt:lpwstr>
      </vt:variant>
      <vt:variant>
        <vt:lpwstr/>
      </vt:variant>
      <vt:variant>
        <vt:i4>1704025</vt:i4>
      </vt:variant>
      <vt:variant>
        <vt:i4>30</vt:i4>
      </vt:variant>
      <vt:variant>
        <vt:i4>0</vt:i4>
      </vt:variant>
      <vt:variant>
        <vt:i4>5</vt:i4>
      </vt:variant>
      <vt:variant>
        <vt:lpwstr>http://dx.doi.org/10.38116/9786556350509cap9</vt:lpwstr>
      </vt:variant>
      <vt:variant>
        <vt:lpwstr/>
      </vt:variant>
      <vt:variant>
        <vt:i4>7405670</vt:i4>
      </vt:variant>
      <vt:variant>
        <vt:i4>27</vt:i4>
      </vt:variant>
      <vt:variant>
        <vt:i4>0</vt:i4>
      </vt:variant>
      <vt:variant>
        <vt:i4>5</vt:i4>
      </vt:variant>
      <vt:variant>
        <vt:lpwstr>https://doi.org/10.1093/icc/dtad077</vt:lpwstr>
      </vt:variant>
      <vt:variant>
        <vt:lpwstr/>
      </vt:variant>
      <vt:variant>
        <vt:i4>7536754</vt:i4>
      </vt:variant>
      <vt:variant>
        <vt:i4>24</vt:i4>
      </vt:variant>
      <vt:variant>
        <vt:i4>0</vt:i4>
      </vt:variant>
      <vt:variant>
        <vt:i4>5</vt:i4>
      </vt:variant>
      <vt:variant>
        <vt:lpwstr>https://www.ucl.ac.uk/bartlett/public-purpose/wp2024-05</vt:lpwstr>
      </vt:variant>
      <vt:variant>
        <vt:lpwstr/>
      </vt:variant>
      <vt:variant>
        <vt:i4>524352</vt:i4>
      </vt:variant>
      <vt:variant>
        <vt:i4>21</vt:i4>
      </vt:variant>
      <vt:variant>
        <vt:i4>0</vt:i4>
      </vt:variant>
      <vt:variant>
        <vt:i4>5</vt:i4>
      </vt:variant>
      <vt:variant>
        <vt:lpwstr>https://doi.org/10.1080/09540962.2024.2389915</vt:lpwstr>
      </vt:variant>
      <vt:variant>
        <vt:lpwstr/>
      </vt:variant>
      <vt:variant>
        <vt:i4>2228324</vt:i4>
      </vt:variant>
      <vt:variant>
        <vt:i4>18</vt:i4>
      </vt:variant>
      <vt:variant>
        <vt:i4>0</vt:i4>
      </vt:variant>
      <vt:variant>
        <vt:i4>5</vt:i4>
      </vt:variant>
      <vt:variant>
        <vt:lpwstr>https://doi.org/10.1111/puar.13422</vt:lpwstr>
      </vt:variant>
      <vt:variant>
        <vt:lpwstr/>
      </vt:variant>
      <vt:variant>
        <vt:i4>852036</vt:i4>
      </vt:variant>
      <vt:variant>
        <vt:i4>15</vt:i4>
      </vt:variant>
      <vt:variant>
        <vt:i4>0</vt:i4>
      </vt:variant>
      <vt:variant>
        <vt:i4>5</vt:i4>
      </vt:variant>
      <vt:variant>
        <vt:lpwstr>https://doi.org/10.1080/10580530.2012.716740</vt:lpwstr>
      </vt:variant>
      <vt:variant>
        <vt:lpwstr/>
      </vt:variant>
      <vt:variant>
        <vt:i4>6160449</vt:i4>
      </vt:variant>
      <vt:variant>
        <vt:i4>12</vt:i4>
      </vt:variant>
      <vt:variant>
        <vt:i4>0</vt:i4>
      </vt:variant>
      <vt:variant>
        <vt:i4>5</vt:i4>
      </vt:variant>
      <vt:variant>
        <vt:lpwstr>https://doi.org/10.1109/MIC.2020.2979639</vt:lpwstr>
      </vt:variant>
      <vt:variant>
        <vt:lpwstr/>
      </vt:variant>
      <vt:variant>
        <vt:i4>1441874</vt:i4>
      </vt:variant>
      <vt:variant>
        <vt:i4>9</vt:i4>
      </vt:variant>
      <vt:variant>
        <vt:i4>0</vt:i4>
      </vt:variant>
      <vt:variant>
        <vt:i4>5</vt:i4>
      </vt:variant>
      <vt:variant>
        <vt:lpwstr>https://doi.org/10.1177/09520767231198737</vt:lpwstr>
      </vt:variant>
      <vt:variant>
        <vt:lpwstr/>
      </vt:variant>
      <vt:variant>
        <vt:i4>7143510</vt:i4>
      </vt:variant>
      <vt:variant>
        <vt:i4>6</vt:i4>
      </vt:variant>
      <vt:variant>
        <vt:i4>0</vt:i4>
      </vt:variant>
      <vt:variant>
        <vt:i4>5</vt:i4>
      </vt:variant>
      <vt:variant>
        <vt:lpwstr>https://cgi.br/media/docs/publicacoes/1/20231129143817/educacao_em_um_cenario_de_plataformiza%C3%A7ao_e_de_economia_de_dados_soberania_e_infraestrutura.pdf</vt:lpwstr>
      </vt:variant>
      <vt:variant>
        <vt:lpwstr/>
      </vt:variant>
      <vt:variant>
        <vt:i4>524358</vt:i4>
      </vt:variant>
      <vt:variant>
        <vt:i4>3</vt:i4>
      </vt:variant>
      <vt:variant>
        <vt:i4>0</vt:i4>
      </vt:variant>
      <vt:variant>
        <vt:i4>5</vt:i4>
      </vt:variant>
      <vt:variant>
        <vt:lpwstr>https://doi.org/10.1080/02680939.2015.1013271</vt:lpwstr>
      </vt:variant>
      <vt:variant>
        <vt:lpwstr/>
      </vt:variant>
      <vt:variant>
        <vt:i4>7733284</vt:i4>
      </vt:variant>
      <vt:variant>
        <vt:i4>0</vt:i4>
      </vt:variant>
      <vt:variant>
        <vt:i4>0</vt:i4>
      </vt:variant>
      <vt:variant>
        <vt:i4>5</vt:i4>
      </vt:variant>
      <vt:variant>
        <vt:lpwstr>https://www.gov.br/gestao/pt-br/assuntos/noticias/2025/se/mais-de-130-milhoes-de-brasileiros-ja-utilizaram-o-gov-br-em-2025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de Barros Filgueiras (DIEI/SEGAPE/MEC)</dc:creator>
  <cp:keywords/>
  <dc:description/>
  <cp:lastModifiedBy>Fernando de Barros Filgueiras (DIEI/SEGAPE/MEC)</cp:lastModifiedBy>
  <cp:revision>3</cp:revision>
  <dcterms:created xsi:type="dcterms:W3CDTF">2026-03-10T11:37:00Z</dcterms:created>
  <dcterms:modified xsi:type="dcterms:W3CDTF">2026-03-10T11:38:00Z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Name 2_1">
    <vt:lpwstr>American Psychological Association 7th edition</vt:lpwstr>
  </property>
  <property fmtid="{D5CDD505-2E9C-101B-9397-08002B2CF9AE}" pid="3" name="Mendeley Recent Style Name 5_1">
    <vt:lpwstr>Cite Them Right 12th edition - Harvard</vt:lpwstr>
  </property>
  <property fmtid="{D5CDD505-2E9C-101B-9397-08002B2CF9AE}" pid="4" name="Mendeley Recent Style Name 8_1">
    <vt:lpwstr>Modern Language Association 9th edition</vt:lpwstr>
  </property>
  <property fmtid="{D5CDD505-2E9C-101B-9397-08002B2CF9AE}" pid="5" name="ContentTypeId">
    <vt:lpwstr>0x0101008970C28EB3144143A0633EE9BFC2D92F</vt:lpwstr>
  </property>
  <property fmtid="{D5CDD505-2E9C-101B-9397-08002B2CF9AE}" pid="6" name="Mendeley Recent Style Id 2_1">
    <vt:lpwstr>http://www.zotero.org/styles/apa</vt:lpwstr>
  </property>
  <property fmtid="{D5CDD505-2E9C-101B-9397-08002B2CF9AE}" pid="7" name="Mendeley Recent Style Id 5_1">
    <vt:lpwstr>http://www.zotero.org/styles/harvard-cite-them-right</vt:lpwstr>
  </property>
  <property fmtid="{D5CDD505-2E9C-101B-9397-08002B2CF9AE}" pid="8" name="Mendeley Recent Style Name 0_1">
    <vt:lpwstr>American Medical Association 11th edition</vt:lpwstr>
  </property>
  <property fmtid="{D5CDD505-2E9C-101B-9397-08002B2CF9AE}" pid="9" name="Mendeley Recent Style Id 8_1">
    <vt:lpwstr>http://www.zotero.org/styles/modern-language-association</vt:lpwstr>
  </property>
  <property fmtid="{D5CDD505-2E9C-101B-9397-08002B2CF9AE}" pid="10" name="Mendeley Recent Style Name 3_1">
    <vt:lpwstr>American Sociological Association 6th/7th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6_1">
    <vt:lpwstr>IEEE</vt:lpwstr>
  </property>
  <property fmtid="{D5CDD505-2E9C-101B-9397-08002B2CF9AE}" pid="13" name="Mendeley Recent Style Name 9_1">
    <vt:lpwstr>Universidade Federal de Minas Gerais - Faculdade de Ciências Econômicas - ABNT (autoria completa) (Português - Brasil)</vt:lpwstr>
  </property>
  <property fmtid="{D5CDD505-2E9C-101B-9397-08002B2CF9AE}" pid="14" name="Mendeley Recent Style Id 4_1">
    <vt:lpwstr>http://www.zotero.org/styles/chicago-author-date</vt:lpwstr>
  </property>
  <property fmtid="{D5CDD505-2E9C-101B-9397-08002B2CF9AE}" pid="15" name="Mendeley Recent Style Id 7_1">
    <vt:lpwstr>http://www.zotero.org/styles/modern-humanities-research-association</vt:lpwstr>
  </property>
  <property fmtid="{D5CDD505-2E9C-101B-9397-08002B2CF9AE}" pid="16" name="Mendeley Recent Style Id 0_1">
    <vt:lpwstr>http://www.zotero.org/styles/american-medical-association</vt:lpwstr>
  </property>
  <property fmtid="{D5CDD505-2E9C-101B-9397-08002B2CF9AE}" pid="17" name="Mendeley Recent Style Id 3_1">
    <vt:lpwstr>http://www.zotero.org/styles/american-sociological-association</vt:lpwstr>
  </property>
  <property fmtid="{D5CDD505-2E9C-101B-9397-08002B2CF9AE}" pid="18" name="Mendeley Recent Style Id 6_1">
    <vt:lpwstr>http://www.zotero.org/styles/ieee</vt:lpwstr>
  </property>
  <property fmtid="{D5CDD505-2E9C-101B-9397-08002B2CF9AE}" pid="19" name="Mendeley Recent Style Name 1_1">
    <vt:lpwstr>American Political Science Association</vt:lpwstr>
  </property>
  <property fmtid="{D5CDD505-2E9C-101B-9397-08002B2CF9AE}" pid="20" name="Mendeley Recent Style Id 9_1">
    <vt:lpwstr>http://www.zotero.org/styles/associacao-brasileira-de-normas-tecnicas-ufmg-face-full</vt:lpwstr>
  </property>
  <property fmtid="{D5CDD505-2E9C-101B-9397-08002B2CF9AE}" pid="21" name="Mendeley Recent Style Name 4_1">
    <vt:lpwstr>Chicago Manual of Style 17th edition (author-date)</vt:lpwstr>
  </property>
  <property fmtid="{D5CDD505-2E9C-101B-9397-08002B2CF9AE}" pid="22" name="Mendeley Recent Style Name 7_1">
    <vt:lpwstr>Modern Humanities Research Association 4th edition (note with bibliography)</vt:lpwstr>
  </property>
</Properties>
</file>