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D264" w14:textId="77777777" w:rsidR="008E58D0" w:rsidRPr="00D67D13" w:rsidRDefault="008E58D0" w:rsidP="008E58D0">
      <w:pPr>
        <w:pStyle w:val="Heading3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it-IT"/>
        </w:rPr>
      </w:pPr>
      <w:r w:rsidRPr="00D67D13">
        <w:rPr>
          <w:rFonts w:ascii="Calibri" w:eastAsia="Times New Roman" w:hAnsi="Calibri" w:cs="Calibri"/>
          <w:sz w:val="22"/>
          <w:szCs w:val="22"/>
          <w:lang w:val="it-IT"/>
        </w:rPr>
        <w:t>Riscos e possibilidades da Saúde Digital</w:t>
      </w:r>
    </w:p>
    <w:p w14:paraId="00DA0A4B" w14:textId="77777777" w:rsidR="008E58D0" w:rsidRPr="00D67D13" w:rsidRDefault="008E58D0" w:rsidP="008E58D0">
      <w:pPr>
        <w:jc w:val="both"/>
        <w:rPr>
          <w:rFonts w:ascii="Calibri" w:hAnsi="Calibri" w:cs="Calibri"/>
          <w:sz w:val="22"/>
          <w:szCs w:val="22"/>
          <w:lang w:val="it-IT"/>
        </w:rPr>
      </w:pPr>
      <w:r w:rsidRPr="00D67D13">
        <w:rPr>
          <w:rFonts w:ascii="Calibri" w:hAnsi="Calibri" w:cs="Calibri"/>
          <w:sz w:val="22"/>
          <w:szCs w:val="22"/>
          <w:lang w:val="it-IT"/>
        </w:rPr>
        <w:t>A digitalização dos sistemas de saúde tem se consolidado como eixo estratégico das políticas públicas no Brasil, especialmente no âmbito do Sistema Único de Saúde (SUS), ao prometer ampliar o acesso, qualificar processos de trabalho e fortalecer a capacidade de gestão em diferentes níveis de atenção. Impulsionada pela pandemia de covid-19 e pela rápida incorporação de tecnologias como prontuários eletrônicos, telessaúde, inteligência artificial e infraestruturas interoperáveis de dados, a agenda da saúde digital passou a ocupar posição central no debate sanitário contemporâneo. Contudo, esse processo é atravessado por tensões estruturais que envolvem desigualdades regionais, dependência tecnológica, riscos à privacidade e à proteção de direitos, bem como disputas em torno da governança dos dados e da participação do setor privado. Assim, compreender simultaneamente as possibilidades e os riscos da saúde digital torna-se fundamental para avaliar seus impactos sobre a equidade, a sustentabilidade do SUS e a garantia do direito à saúde no país.</w:t>
      </w:r>
    </w:p>
    <w:p w14:paraId="47C9A00F" w14:textId="77777777" w:rsidR="008E58D0" w:rsidRPr="00D67D13" w:rsidRDefault="008E58D0" w:rsidP="008E58D0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67D13">
        <w:rPr>
          <w:rFonts w:ascii="Calibri" w:hAnsi="Calibri" w:cs="Calibri"/>
          <w:sz w:val="22"/>
          <w:szCs w:val="22"/>
        </w:rPr>
        <w:t>Haddad e Lima (2024) identificam quatro eixos centrais da estratégia brasileira de saúde digital: a ampliação da digitalização na Atenção Primária à Saúde (APS), com fortalecimento da continuidade do cuidado; a redefinição da telessaúde como prática mediada por metapresencialidade e integrada à atenção especializada e aos sistemas regulatórios; a conversão de grandes volumes de dados em indicadores para apoiar a gestão do SUS; e a interoperabilidade e integração intersetorial das bases informacionais por meio da RNDS, incorporando determinantes sociais e ambientais. Embora reconheçam o elevado potencial dessas iniciativas para ampliar o acesso, qualificar processos de trabalho e aprimorar a informação em saúde, as autoras alertam que a intensificação do uso de dados sensíveis após a pandemia ampliou riscos de ataques cibernéticos, mercantilização de informações e práticas opacas de perfilagem, ao passo que a expansão da inteligência artificial e do Big Data pode automatizar desigualdades e violar direitos fundamentais na ausência de mecanismos robustos de governança. Apesar dos avanços normativos, persistem lacunas regulatórias relativas à pesquisa em saúde, ao uso econômico dos dados, à dispensa de consentimento e à atuação de agentes privados, o que fragiliza a proteção da privacidade, da dignidade e do próprio direito à saúde (Haddad &amp; Lima, 2024). Como sintetizam as autoras, a saúde digital oferece benefícios expressivos à sociedade, mas também impõe riscos relevantes à saúde individual e coletiva e aos direitos humanos fundamentais (Haddad &amp; Lima, 2024, p. 3).</w:t>
      </w:r>
    </w:p>
    <w:p w14:paraId="1D0E3DDD" w14:textId="77777777" w:rsidR="008E58D0" w:rsidRPr="00D67D13" w:rsidRDefault="008E58D0" w:rsidP="008E58D0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67D13">
        <w:rPr>
          <w:rFonts w:ascii="Calibri" w:hAnsi="Calibri" w:cs="Calibri"/>
          <w:sz w:val="22"/>
          <w:szCs w:val="22"/>
        </w:rPr>
        <w:t>Essas preocupações dialogam com análises empíricas sobre a crescente terceirização de plataformas e serviços digitais ao setor privado, que suscita dúvidas quanto à apropriação pública das inovações e à compatibilidade entre interesses mercantis e objetivos do SUS (Orrillo et al., 2025). Somam-se a isso as desigualdades infraestruturais entre regiões e estados — relativas tanto às condições físicas dos serviços quanto à disponibilidade de profissionais de tecnologia —, o que exige compatibilizar a expansão digital com redes elétricas adequadas, conectividade estável e dispositivos eficientes para evitar a incorporação desigual das inovações (Bender et al., 2024; Orrillo et al., 2025). A capacitação permanente dos profissionais de saúde, sobretudo daqueles envolvidos na gestão de dados e sistemas digitais, constitui outro ponto crítico, dado o reconhecimento de dificuldades técnicas no cotidiano do trabalho (Orrillo et al., 2025).</w:t>
      </w:r>
    </w:p>
    <w:p w14:paraId="46680121" w14:textId="77777777" w:rsidR="008E58D0" w:rsidRPr="00D67D13" w:rsidRDefault="008E58D0" w:rsidP="008E58D0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67D13">
        <w:rPr>
          <w:rFonts w:ascii="Calibri" w:hAnsi="Calibri" w:cs="Calibri"/>
          <w:sz w:val="22"/>
          <w:szCs w:val="22"/>
        </w:rPr>
        <w:t xml:space="preserve">Do ponto de vista analítico, De Oliveira et al. (2025) lembram que os Determinantes Sociais da Saúde abrangem as condições de vida moldadas por forças políticas, econômicas e sociais, e argumentam que as tecnologias devem ser entendidas como “social durável”: artefatos sociotécnicos que incorporam valores e escolhas políticas que, ao se naturalizarem, deixam de ser problematizados. Nesse processo, a </w:t>
      </w:r>
      <w:r w:rsidRPr="00D67D13">
        <w:rPr>
          <w:rFonts w:ascii="Calibri" w:hAnsi="Calibri" w:cs="Calibri"/>
          <w:sz w:val="22"/>
          <w:szCs w:val="22"/>
        </w:rPr>
        <w:lastRenderedPageBreak/>
        <w:t xml:space="preserve">chamada </w:t>
      </w:r>
      <w:r w:rsidRPr="00D67D13">
        <w:rPr>
          <w:rStyle w:val="Emphasis"/>
          <w:rFonts w:ascii="Calibri" w:eastAsiaTheme="majorEastAsia" w:hAnsi="Calibri" w:cs="Calibri"/>
          <w:sz w:val="22"/>
          <w:szCs w:val="22"/>
        </w:rPr>
        <w:t>data doxa</w:t>
      </w:r>
      <w:r w:rsidRPr="00D67D13">
        <w:rPr>
          <w:rFonts w:ascii="Calibri" w:hAnsi="Calibri" w:cs="Calibri"/>
          <w:sz w:val="22"/>
          <w:szCs w:val="22"/>
        </w:rPr>
        <w:t xml:space="preserve"> — o acostumamento progressivo a sistemas baseados em dados — e a crença na neutralidade algorítmica, frequentemente associada ao </w:t>
      </w:r>
      <w:r w:rsidRPr="00D67D13">
        <w:rPr>
          <w:rStyle w:val="Emphasis"/>
          <w:rFonts w:ascii="Calibri" w:eastAsiaTheme="majorEastAsia" w:hAnsi="Calibri" w:cs="Calibri"/>
          <w:sz w:val="22"/>
          <w:szCs w:val="22"/>
        </w:rPr>
        <w:t>dataísmo</w:t>
      </w:r>
      <w:r w:rsidRPr="00D67D13">
        <w:rPr>
          <w:rFonts w:ascii="Calibri" w:hAnsi="Calibri" w:cs="Calibri"/>
          <w:sz w:val="22"/>
          <w:szCs w:val="22"/>
        </w:rPr>
        <w:t>, contribuem para normalizar formas de governança por infraestruturas de dados (Smith, 2018; Milan, 2024). Observa-se, assim, uma reorientação das agências administrativas para infraestruturas regulatórias compostas por softwares, hardwares, padrões técnicos, arranjos institucionais e práticas sociais, que passam a desempenhar funções antes atribuídas a decisores humanos, como monitoramento populacional, gestão da segurança, acesso a direitos e decisões administrativas (Milan, 2024a). Tal modalidade de poder regulatório, exercida por sistemas orientados por dados, redefine quem se torna visível, governável e suscetível à intervenção dentro dos arranjos institucionais e territoriais.</w:t>
      </w:r>
    </w:p>
    <w:p w14:paraId="1F003185" w14:textId="77777777" w:rsidR="008E58D0" w:rsidRPr="00D67D13" w:rsidRDefault="008E58D0" w:rsidP="008E58D0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67D13">
        <w:rPr>
          <w:rFonts w:ascii="Calibri" w:hAnsi="Calibri" w:cs="Calibri"/>
          <w:sz w:val="22"/>
          <w:szCs w:val="22"/>
        </w:rPr>
        <w:t>A noção de determinação digital reforça que as tecnologias podem tanto ampliar quanto restringir escolhas relevantes para a produção de saúde; contudo, essa dimensão ainda permanece sub-representada nos debates sobre os determinantes sociais, e sua diluição genérica entre marcadores como classe, raça e gênero pode obscurecer a especificidade dos processos sociotécnicos contemporâneos (De Oliveira et al., 2025). Na APS, obstáculos estruturais — como desigualdade social, baixa resolutividade e subfinanciamento crônico — limitam o uso eficiente das inovações digitais (Gadelha et al., 2025; Geremia, 2020). Embora tais tecnologias possam reduzir iniquidades ao descentralizar serviços, aproximar especialistas de profissionais da ponta e ampliar o alcance em áreas remotas, sua efetividade depende de investimentos consistentes em infraestrutura, formação profissional e educação em saúde, bem como da adaptação às especificidades regionais e às capacidades locais (Alvarado et al., 2017; Gadelha et al., 2025).</w:t>
      </w:r>
    </w:p>
    <w:p w14:paraId="65788FAF" w14:textId="77777777" w:rsidR="008E58D0" w:rsidRPr="00D67D13" w:rsidRDefault="008E58D0" w:rsidP="008E58D0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67D13">
        <w:rPr>
          <w:rFonts w:ascii="Calibri" w:hAnsi="Calibri" w:cs="Calibri"/>
          <w:sz w:val="22"/>
          <w:szCs w:val="22"/>
        </w:rPr>
        <w:t>Por fim, Gadelha et al. (2025) sustentam que a consolidação da saúde digital em um sistema universal requer políticas públicas robustas, fortalecimento das infraestruturas e processos permanentes de qualificação profissional que permitam aos gestores e demais atores do SUS mediar o uso da tecnologia em favor de um cuidado humanizado e resolutivo. O êxito dessa agenda dependerá, em larga medida, da capacidade do país de enfrentar as assimetrias globais, a financeirização e a concentração da indústria tecnológica, articulando inovação, soberania e equidade no acesso à saúde.</w:t>
      </w:r>
    </w:p>
    <w:p w14:paraId="5D022886" w14:textId="77777777" w:rsidR="00D10034" w:rsidRDefault="00D10034"/>
    <w:sectPr w:rsidR="00D10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D0"/>
    <w:rsid w:val="000E62B4"/>
    <w:rsid w:val="002F4D34"/>
    <w:rsid w:val="00482172"/>
    <w:rsid w:val="008E58D0"/>
    <w:rsid w:val="00D10034"/>
    <w:rsid w:val="00F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A853F"/>
  <w15:chartTrackingRefBased/>
  <w15:docId w15:val="{07DB43F6-12D0-1D4A-86D3-6FF12262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D0"/>
  </w:style>
  <w:style w:type="paragraph" w:styleId="Heading1">
    <w:name w:val="heading 1"/>
    <w:basedOn w:val="Normal"/>
    <w:next w:val="Normal"/>
    <w:link w:val="Heading1Char"/>
    <w:uiPriority w:val="9"/>
    <w:qFormat/>
    <w:rsid w:val="008E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5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8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E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Emphasis">
    <w:name w:val="Emphasis"/>
    <w:basedOn w:val="DefaultParagraphFont"/>
    <w:uiPriority w:val="20"/>
    <w:qFormat/>
    <w:rsid w:val="008E5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Campaioli</dc:creator>
  <cp:keywords/>
  <dc:description/>
  <cp:lastModifiedBy>Giulia Campaioli</cp:lastModifiedBy>
  <cp:revision>2</cp:revision>
  <dcterms:created xsi:type="dcterms:W3CDTF">2026-02-04T20:02:00Z</dcterms:created>
  <dcterms:modified xsi:type="dcterms:W3CDTF">2026-02-04T20:02:00Z</dcterms:modified>
</cp:coreProperties>
</file>